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ab/>
        <w:tab/>
        <w:tab/>
        <w:t xml:space="preserve"> </w:t>
      </w: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  </w:t>
      </w:r>
      <w:r>
        <w:rPr>
          <w:rFonts w:cs="Palatino Linotype" w:ascii="Palatino Linotype" w:hAnsi="Palatino Linotype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it-IT" w:eastAsia="it-IT" w:bidi="ar-SA"/>
        </w:rPr>
        <w:t xml:space="preserve"> </w:t>
      </w:r>
      <w:r>
        <w:rPr>
          <w:rFonts w:cs="Palatino Linotype" w:ascii="Palatino Linotype" w:hAnsi="Palatino Linotype"/>
          <w:b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it-IT" w:eastAsia="it-IT" w:bidi="ar-SA"/>
        </w:rPr>
        <w:t>DICHIARAZIONE SOSTITUTIVA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ab/>
        <w:tab/>
        <w:t xml:space="preserve">          (artt. 46 e 47 del D.P.R. 28 dicembre 2000, n. 445)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Il/La sottoscritto/a................................................................................................................</w:t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nato/a .................................................il................................................................................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ai fini della nomina nel Consiglio di Amministrazione di </w:t>
      </w: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TURISMO TORINO e PROVINCIA scrl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ai sensi degli artt. 46 e 47 del D.P.R.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445/2000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ab/>
        <w:tab/>
        <w:tab/>
        <w:tab/>
        <w:t xml:space="preserve">          DICHIARA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 di possedere i requisiti di cui all’art. 12, comma 4, della L.R. 14/2016 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(1)</w:t>
      </w: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 di possedere i requisiti di cui all’art. 11, comma 1, del D.Lgs. 175/2016 </w:t>
      </w:r>
      <w:r>
        <w:rPr>
          <w:rFonts w:cs="Palatino Linotype" w:ascii="Palatino Linotype" w:hAnsi="Palatino Linotype"/>
          <w:i/>
          <w:iCs/>
          <w:color w:val="000000"/>
          <w:sz w:val="20"/>
          <w:szCs w:val="20"/>
          <w:lang w:val="it-IT" w:eastAsia="it-IT" w:bidi="ar-SA"/>
        </w:rPr>
        <w:t>(</w:t>
      </w:r>
      <w:r>
        <w:rPr>
          <w:rFonts w:cs="Palatino Linotype" w:ascii="Palatino Linotype" w:hAnsi="Palatino Linotype"/>
          <w:b/>
          <w:i/>
          <w:iCs/>
          <w:color w:val="000000"/>
          <w:sz w:val="20"/>
          <w:szCs w:val="20"/>
          <w:lang w:val="it-IT" w:eastAsia="it-IT" w:bidi="ar-SA"/>
        </w:rPr>
        <w:t>2)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 </w:t>
        <w:tab/>
      </w:r>
      <w:r>
        <w:rPr>
          <w:rFonts w:eastAsia="Palatino Linotype"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□ 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di non trovarsi nella situazione prevista dall’art. 11, comma 8, del del D.Lgs. 175/2016 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(3)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ab/>
      </w:r>
      <w:r>
        <w:rPr>
          <w:rFonts w:eastAsia="Palatino Linotype"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□ 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di trovarsi nella situazione prevista dall’art. 11, comma 8, del del D.Lgs. 175/2016 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(3)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 </w:t>
        <w:tab/>
      </w:r>
      <w:r>
        <w:rPr>
          <w:rFonts w:eastAsia="Palatino Linotype"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□ 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di non trovarsi nella situazione prevista dall’art. 11, comma 12, del D.Lgs. 175/2016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(4)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ab/>
      </w:r>
      <w:r>
        <w:rPr>
          <w:rFonts w:eastAsia="Palatino Linotype"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□ 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di trovarsi nella situazione prevista dall’art. 11, comma 12, del del D.Lgs. 175/2016 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(4)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 xml:space="preserve"> di non trovarsi in alcuna delle condizioni previste dall’art. 2382 Codice civile 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0"/>
          <w:szCs w:val="20"/>
          <w:lang w:val="it-IT" w:eastAsia="it-IT" w:bidi="ar-SA"/>
        </w:rPr>
        <w:t>(5);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40"/>
          <w:szCs w:val="40"/>
          <w:lang w:val="it-IT" w:eastAsia="it-IT" w:bidi="ar-SA"/>
        </w:rPr>
        <w:t>.</w:t>
      </w: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di aver preso visione del Codice Etico della Società, con particolare riguardo al “Conflitto di interessi”.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Luogo e data</w:t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_________________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Il/La dichiarante</w:t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__________________________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La presente dichiarazione deve essere compilata e firmata digitalmente. In assenza di firma digitale, potrà essere apposta firma autografa con allegata la fotocopia fronte/retro del proprio documento di identità.</w:t>
      </w:r>
    </w:p>
    <w:p>
      <w:pPr>
        <w:pStyle w:val="Normal"/>
        <w:jc w:val="both"/>
        <w:rPr>
          <w:rFonts w:ascii="Palatino Linotype" w:hAnsi="Palatino Linotype" w:cs="Palatino Linotype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sz w:val="20"/>
          <w:szCs w:val="20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------------------------</w:t>
      </w:r>
    </w:p>
    <w:p>
      <w:pPr>
        <w:pStyle w:val="Normal"/>
        <w:jc w:val="both"/>
        <w:rPr>
          <w:rFonts w:ascii="Palatino Linotype" w:hAnsi="Palatino Linotype" w:cs="Palatino Linotype"/>
          <w:b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1) Art. 12, comma 4, L.R. 14/2016 - Organi delle ATL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“</w:t>
      </w: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I consiglieri di amministrazione delle ATL sono scelti tra soggetti qualificati in materia di turismo, cultura, sport e tempo libero o di governo del territorio, con rilevanti esperienze nell'amministrazione e gestione di enti di diritto pubblico o privato, aziende, società, consorzi o associazioni”</w:t>
      </w:r>
    </w:p>
    <w:p>
      <w:pPr>
        <w:pStyle w:val="Normal"/>
        <w:jc w:val="both"/>
        <w:rPr>
          <w:rFonts w:ascii="Palatino Linotype" w:hAnsi="Palatino Linotype" w:cs="Palatino Linotype"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color w:val="000000"/>
          <w:sz w:val="20"/>
          <w:szCs w:val="20"/>
          <w:lang w:val="it-IT" w:eastAsia="it-IT" w:bidi="ar-SA"/>
        </w:rPr>
        <w:t>------------------------------</w:t>
      </w:r>
    </w:p>
    <w:p>
      <w:pPr>
        <w:pStyle w:val="Normal"/>
        <w:jc w:val="both"/>
        <w:rPr>
          <w:rFonts w:ascii="Palatino Linotype" w:hAnsi="Palatino Linotype" w:cs="Palatino Linotype"/>
          <w:b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2) Art. 11, comma 1, D.lgs. 175/2016 – Organi amm.vi e di controllo delle società a controllo pubblico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“</w:t>
      </w:r>
      <w:r>
        <w:rPr>
          <w:rFonts w:cs="Palatino Linotype" w:ascii="Palatino Linotype" w:hAnsi="Palatino Linotype"/>
          <w:i/>
          <w:color w:val="19191A"/>
          <w:sz w:val="20"/>
          <w:szCs w:val="20"/>
          <w:lang w:val="it-IT" w:eastAsia="it-IT" w:bidi="ar-SA"/>
        </w:rPr>
        <w:t>Salvi gli ulteriori requisiti previsti dallo statuto, i componenti degli organi amministrativi e di controllo di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19191A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19191A"/>
          <w:sz w:val="20"/>
          <w:szCs w:val="20"/>
          <w:lang w:val="it-IT" w:eastAsia="it-IT" w:bidi="ar-SA"/>
        </w:rPr>
        <w:t>società a controllo pubblico devono possedere i requisiti di onorabilità, professionalità e autonomia stabiliti con decreto del Presidente del Consiglio dei ministri, su proposta del Ministro dell'economia e delle finanze , previa intesa in Conferenza unificata ai sensi dell'articolo 9 del decreto legislativo 28 agosto 1997, n. 281. Resta fermo quanto disposto dall'articolo 12 del decreto legislativo 8 aprile 2013, n. 39, e dall'articolo 5, comma 9, del decreto-legge 6 luglio 2012, n. 95, convertito, con modificazioni, dalla legge 7 agosto 2012, n. 135”.</w:t>
      </w:r>
    </w:p>
    <w:p>
      <w:pPr>
        <w:pStyle w:val="Normal"/>
        <w:jc w:val="both"/>
        <w:rPr>
          <w:rFonts w:ascii="Palatino Linotype" w:hAnsi="Palatino Linotype" w:cs="Palatino Linotype"/>
          <w:b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3) Art. 11, comma 8, D.Lgs. 175/2016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8. “Gli amministratori delle società a controllo pubblico non possono essere dipendenti delle amministrazioni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pubbliche controllanti o vigilanti. Qualora siano dipendenti della società controllante, in virtù del principio di onnicomprensività della retribuzione, fatto salvo il diritto alla copertura assicurativa e al rimborso delle spese documentate, nel rispetto del limite di spesa di cui al comma 6, essi hanno l’obbligo di riversare i relativi compensi alla società di appartenenza. Dall’applicazione del presente comma non possono derivare aumenti della spesa complessiva per i compensi degli amministratori”.</w:t>
      </w:r>
    </w:p>
    <w:p>
      <w:pPr>
        <w:pStyle w:val="Normal"/>
        <w:jc w:val="both"/>
        <w:rPr>
          <w:rFonts w:ascii="Palatino Linotype" w:hAnsi="Palatino Linotype" w:cs="Palatino Linotype"/>
          <w:b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4)Art. 11, comma 12, D.Lgs. 175/2016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12. “Coloro che hanno un rapporto di lavoro con società a controllo pubblico e che sono al tempo stesso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componenti degli organi di amministrazione della società con cui è instaurato il rapporto di lavoro, sono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collocati in aspettativa non retribuita e con sospensione della loro iscrizione ai competenti istituti di previdenza e di assistenza, salvo che rinuncino ai compensi dovuti a qualunque titolo agli amministratori”.</w:t>
      </w:r>
    </w:p>
    <w:p>
      <w:pPr>
        <w:pStyle w:val="Normal"/>
        <w:jc w:val="both"/>
        <w:rPr>
          <w:rFonts w:ascii="Palatino Linotype" w:hAnsi="Palatino Linotype" w:cs="Palatino Linotype"/>
          <w:b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b/>
          <w:color w:val="000000"/>
          <w:sz w:val="20"/>
          <w:szCs w:val="20"/>
          <w:lang w:val="it-IT" w:eastAsia="it-IT" w:bidi="ar-SA"/>
        </w:rPr>
        <w:t>5) Art. 2382 Codice civile Cause di ineleggibilità e di decadenza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“</w:t>
      </w: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Non può essere nominato amministratore, e se nominato decade dal suo ufficio, l'interdetto, l'inabilitato, il</w:t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color w:val="000000"/>
          <w:sz w:val="20"/>
          <w:szCs w:val="20"/>
          <w:lang w:val="it-IT" w:eastAsia="it-IT" w:bidi="ar-SA"/>
        </w:rPr>
      </w:pPr>
      <w:r>
        <w:rPr>
          <w:rFonts w:cs="Palatino Linotype" w:ascii="Palatino Linotype" w:hAnsi="Palatino Linotype"/>
          <w:i/>
          <w:color w:val="000000"/>
          <w:sz w:val="20"/>
          <w:szCs w:val="20"/>
          <w:lang w:val="it-IT" w:eastAsia="it-IT" w:bidi="ar-SA"/>
        </w:rPr>
        <w:t>fallito, o chi è stato condannato ad una pena che importa l'interdizione, anche temporanea, dai pubblici uffici o l'incapacità ad esercitare uffici direttivi”.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794" w:top="2551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heSans">
    <w:altName w:val="Arial"/>
    <w:charset w:val="00"/>
    <w:family w:val="roman"/>
    <w:pitch w:val="variable"/>
  </w:font>
  <w:font w:name="SansSerif">
    <w:altName w:val="Arial"/>
    <w:charset w:val="00"/>
    <w:family w:val="roman"/>
    <w:pitch w:val="variable"/>
  </w:font>
  <w:font w:name="Palatino Linotype">
    <w:charset w:val="01"/>
    <w:family w:val="roman"/>
    <w:pitch w:val="variable"/>
  </w:font>
  <w:font w:name="Palatino Linotype">
    <w:charset w:val="01"/>
    <w:family w:val="roman"/>
    <w:pitch w:val="default"/>
  </w:font>
  <w:font w:name="Palatino">
    <w:altName w:val="Book Antiqu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-20955</wp:posOffset>
              </wp:positionH>
              <wp:positionV relativeFrom="paragraph">
                <wp:posOffset>148590</wp:posOffset>
              </wp:positionV>
              <wp:extent cx="5556250" cy="635"/>
              <wp:effectExtent l="3810" t="3810" r="3810" b="381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6240" cy="720"/>
                      </a:xfrm>
                      <a:prstGeom prst="line">
                        <a:avLst/>
                      </a:prstGeom>
                      <a:ln cap="sq" w="6480">
                        <a:solidFill>
                          <a:srgbClr val="4a7ebb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65pt,11.7pt" to="435.8pt,11.7pt" ID="Forma1" stroked="t" o:allowincell="f" style="position:absolute">
              <v:stroke color="#4a7ebb" weight="648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Titolo4"/>
      <w:shd w:fill="FFFFFF" w:val="clear"/>
      <w:spacing w:before="0" w:after="0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color w:val="0055A3"/>
        <w:sz w:val="16"/>
        <w:szCs w:val="14"/>
        <w:lang w:val="it-IT" w:eastAsia="it-IT"/>
      </w:rPr>
    </w:pPr>
    <w:r>
      <w:rPr>
        <w:rFonts w:cs="Helvetica;Arial" w:ascii="Helvetica;Arial" w:hAnsi="Helvetica;Arial"/>
        <w:b/>
        <w:color w:val="0055A3"/>
        <w:sz w:val="16"/>
        <w:szCs w:val="14"/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406525" cy="58610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30" t="-11234" r="-4830" b="-11234"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>                           </w:t>
    </w:r>
  </w:p>
  <w:p>
    <w:pPr>
      <w:pStyle w:val="Intestazione"/>
      <w:rPr>
        <w:rFonts w:ascii="Palatino;Book Antiqua" w:hAnsi="Palatino;Book Antiqua" w:cs="Palatino;Book Antiqua"/>
        <w:color w:val="000000"/>
      </w:rPr>
    </w:pPr>
    <w:r>
      <w:rPr>
        <w:rFonts w:cs="Palatino;Book Antiqua" w:ascii="Palatino;Book Antiqua" w:hAnsi="Palatino;Book Antiqua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;Times New Roman" w:hAnsi="Times;Times New Roman" w:eastAsia="Times New Roman" w:cs="Times;Times New Roman"/>
      <w:color w:val="000000"/>
      <w:kern w:val="2"/>
      <w:sz w:val="24"/>
      <w:szCs w:val="24"/>
      <w:lang w:val="en-US" w:eastAsia="it-IT" w:bidi="ar-SA"/>
    </w:rPr>
  </w:style>
  <w:style w:type="paragraph" w:styleId="Titolo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351" w:leader="none"/>
      </w:tabs>
      <w:jc w:val="both"/>
      <w:outlineLvl w:val="0"/>
    </w:pPr>
    <w:rPr>
      <w:rFonts w:ascii="Times New Roman" w:hAnsi="Times New Roman" w:cs="Times New Roman"/>
      <w:b/>
      <w:bCs/>
      <w:color w:val="000000"/>
      <w:lang w:val="it-IT" w:bidi="he-IL"/>
    </w:rPr>
  </w:style>
  <w:style w:type="paragraph" w:styleId="Titolo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pBdr>
        <w:top w:val="single" w:sz="14" w:space="0" w:color="0000FF"/>
      </w:pBdr>
      <w:outlineLvl w:val="1"/>
    </w:pPr>
    <w:rPr>
      <w:rFonts w:ascii="Helvetica;Arial" w:hAnsi="Helvetica;Arial" w:cs="Helvetica;Arial"/>
      <w:b/>
      <w:bCs/>
      <w:sz w:val="14"/>
      <w:szCs w:val="14"/>
      <w:lang w:val="it-IT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Helvetica;Arial" w:hAnsi="Helvetica;Arial" w:cs="Helvetica;Arial"/>
      <w:b/>
      <w:szCs w:val="56"/>
      <w:lang w:val="it-IT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mbria" w:hAnsi="Cambria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Palatino Linotype" w:hAnsi="Palatino Linotype" w:cs="Palatino Linotype"/>
      <w:b w:val="false"/>
      <w:bCs w:val="false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Wingdings"/>
      <w:sz w:val="16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sz w:val="20"/>
      <w:szCs w:val="20"/>
      <w:lang w:val="it-IT" w:eastAsia="it-IT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character" w:styleId="Caratterinotadichiusura">
    <w:name w:val="Caratteri nota di chiusura"/>
    <w:basedOn w:val="Carpredefinitoparagrafo"/>
    <w:qFormat/>
    <w:rPr>
      <w:vertAlign w:val="superscript"/>
    </w:rPr>
  </w:style>
  <w:style w:type="character" w:styleId="CollegamentoInternet">
    <w:name w:val="Hyperlink"/>
    <w:basedOn w:val="Carpredefinitoparagrafo"/>
    <w:rPr>
      <w:color w:val="0000FF"/>
      <w:u w:val="single"/>
    </w:rPr>
  </w:style>
  <w:style w:type="character" w:styleId="Testo1">
    <w:name w:val="testo1"/>
    <w:basedOn w:val="Carpredefinitoparagrafo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17"/>
      <w:szCs w:val="17"/>
      <w:u w:val="none"/>
    </w:rPr>
  </w:style>
  <w:style w:type="character" w:styleId="CollegamentoInternetvisitato">
    <w:name w:val="FollowedHyperlink"/>
    <w:basedOn w:val="Carpredefinitoparagrafo"/>
    <w:rPr>
      <w:color w:val="800080"/>
      <w:u w:val="single"/>
    </w:rPr>
  </w:style>
  <w:style w:type="character" w:styleId="A2">
    <w:name w:val="A2"/>
    <w:qFormat/>
    <w:rPr>
      <w:color w:val="FFFFFF"/>
      <w:sz w:val="96"/>
      <w:szCs w:val="96"/>
    </w:rPr>
  </w:style>
  <w:style w:type="character" w:styleId="Enfasiforte">
    <w:name w:val="Strong"/>
    <w:basedOn w:val="Carpredefinitoparagrafo"/>
    <w:qFormat/>
    <w:rPr>
      <w:b/>
      <w:bCs/>
    </w:rPr>
  </w:style>
  <w:style w:type="character" w:styleId="Enfasi">
    <w:name w:val="Emphasis"/>
    <w:basedOn w:val="Carpredefinitoparagrafo"/>
    <w:qFormat/>
    <w:rPr>
      <w:i/>
      <w:iCs/>
    </w:rPr>
  </w:style>
  <w:style w:type="character" w:styleId="Apple-converted-space">
    <w:name w:val="apple-converted-space"/>
    <w:basedOn w:val="Carpredefinitoparagrafo"/>
    <w:qFormat/>
    <w:rPr/>
  </w:style>
  <w:style w:type="character" w:styleId="Sottotitspeciale">
    <w:name w:val="sottotit_speciale"/>
    <w:basedOn w:val="Carpredefinitoparagrafo"/>
    <w:qFormat/>
    <w:rPr/>
  </w:style>
  <w:style w:type="character" w:styleId="CarattereCarattere">
    <w:name w:val=" Carattere Carattere"/>
    <w:basedOn w:val="Carpredefinitoparagrafo"/>
    <w:qFormat/>
    <w:rPr>
      <w:rFonts w:ascii="Cambria" w:hAnsi="Cambria" w:eastAsia="Times New Roman" w:cs="Times New Roman"/>
      <w:b/>
      <w:bCs/>
      <w:color w:val="000000"/>
      <w:sz w:val="28"/>
      <w:szCs w:val="28"/>
      <w:lang w:val="en-US" w:eastAsia="it-I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deltesto">
    <w:name w:val="Body Text"/>
    <w:basedOn w:val="Normal"/>
    <w:pPr>
      <w:widowControl/>
      <w:spacing w:before="0" w:after="283"/>
      <w:ind w:left="0" w:right="0" w:hanging="0"/>
      <w:jc w:val="both"/>
    </w:pPr>
    <w:rPr>
      <w:rFonts w:ascii="Palatino Linotype" w:hAnsi="Palatino Linotype" w:cs="Palatino Linotype"/>
      <w:b w:val="false"/>
      <w:i w:val="false"/>
      <w:caps w:val="false"/>
      <w:smallCaps w:val="false"/>
      <w:color w:val="000000"/>
      <w:spacing w:val="0"/>
      <w:sz w:val="21"/>
      <w:szCs w:val="21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Rientrocorpodeltesto">
    <w:name w:val="Body Text Indent"/>
    <w:basedOn w:val="Normal"/>
    <w:pPr>
      <w:widowControl/>
      <w:ind w:left="0" w:right="0" w:firstLine="720"/>
      <w:jc w:val="both"/>
    </w:pPr>
    <w:rPr>
      <w:lang w:val="it-IT"/>
    </w:rPr>
  </w:style>
  <w:style w:type="paragraph" w:styleId="Rientrocorpodeltesto2">
    <w:name w:val="Rientro corpo del testo 2"/>
    <w:basedOn w:val="Normal"/>
    <w:qFormat/>
    <w:pPr>
      <w:widowControl/>
      <w:ind w:left="2160" w:right="0" w:hanging="1440"/>
    </w:pPr>
    <w:rPr>
      <w:b/>
      <w:bCs/>
      <w:lang w:val="it-IT"/>
    </w:rPr>
  </w:style>
  <w:style w:type="paragraph" w:styleId="Corpodeltesto2">
    <w:name w:val="Corpo del testo 2"/>
    <w:basedOn w:val="Normal"/>
    <w:qFormat/>
    <w:pPr>
      <w:jc w:val="both"/>
    </w:pPr>
    <w:rPr>
      <w:rFonts w:ascii="Helvetica;Arial" w:hAnsi="Helvetica;Arial" w:cs="Helvetica;Arial"/>
      <w:b/>
      <w:bCs/>
      <w:lang w:val="it-IT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heSans;Arial" w:hAnsi="TheSans;Arial" w:eastAsia="Times New Roman" w:cs="TheSans;Arial"/>
      <w:color w:val="000000"/>
      <w:kern w:val="2"/>
      <w:sz w:val="24"/>
      <w:szCs w:val="24"/>
      <w:lang w:val="en-US" w:eastAsia="zh-CN" w:bidi="ar-SA"/>
    </w:rPr>
  </w:style>
  <w:style w:type="paragraph" w:styleId="Corpodeltesto3">
    <w:name w:val="Corpo del testo 3"/>
    <w:basedOn w:val="Normal"/>
    <w:qFormat/>
    <w:pPr>
      <w:jc w:val="both"/>
    </w:pPr>
    <w:rPr>
      <w:rFonts w:ascii="Helvetica;Arial" w:hAnsi="Helvetica;Arial" w:cs="Helvetica;Arial"/>
      <w:b/>
      <w:bCs/>
      <w:sz w:val="22"/>
    </w:rPr>
  </w:style>
  <w:style w:type="paragraph" w:styleId="NormaleWeb">
    <w:name w:val="Normale (Web)"/>
    <w:basedOn w:val="Normal"/>
    <w:qFormat/>
    <w:pPr>
      <w:widowControl/>
      <w:spacing w:before="100" w:after="100"/>
      <w:jc w:val="both"/>
    </w:pPr>
    <w:rPr>
      <w:rFonts w:ascii="Verdana" w:hAnsi="Verdana" w:eastAsia="Arial Unicode MS" w:cs="Arial Unicode MS"/>
      <w:sz w:val="17"/>
      <w:szCs w:val="17"/>
      <w:lang w:val="it-IT"/>
    </w:rPr>
  </w:style>
  <w:style w:type="paragraph" w:styleId="Testonormale">
    <w:name w:val="Testo normale"/>
    <w:basedOn w:val="Normal"/>
    <w:qFormat/>
    <w:pPr>
      <w:jc w:val="both"/>
    </w:pPr>
    <w:rPr>
      <w:lang w:val="it-IT"/>
    </w:rPr>
  </w:style>
  <w:style w:type="paragraph" w:styleId="AxNormal">
    <w:name w:val="axNormal"/>
    <w:basedOn w:val="Normal"/>
    <w:qFormat/>
    <w:pPr>
      <w:tabs>
        <w:tab w:val="left" w:pos="720" w:leader="none"/>
        <w:tab w:val="left" w:pos="1440" w:leader="none"/>
        <w:tab w:val="left" w:pos="2160" w:leader="none"/>
      </w:tabs>
    </w:pPr>
    <w:rPr>
      <w:rFonts w:cs="Times;Times New Roman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1664</TotalTime>
  <Application>LibreOffice/7.5.8.2$Windows_X86_64 LibreOffice_project/f718d63693263970429a68f568db6046aaa9df01</Application>
  <AppVersion>15.0000</AppVersion>
  <Pages>2</Pages>
  <Words>632</Words>
  <Characters>3846</Characters>
  <CharactersWithSpaces>4502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Stefania Fuggetta</dc:creator>
  <dc:description>Created by ApplixWare Release 4.42 (build 1021.544.260) #17  RTF Export Filter</dc:description>
  <dc:language>it-IT</dc:language>
  <cp:lastModifiedBy/>
  <cp:lastPrinted>2024-01-17T16:54:00Z</cp:lastPrinted>
  <dcterms:modified xsi:type="dcterms:W3CDTF">2026-02-11T11:03:33Z</dcterms:modified>
  <cp:revision>416</cp:revision>
  <dc:subject>---</dc:subject>
  <dc:title>---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