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D – VERBALE DI PRESA IN CONSEGNA</w:t>
      </w:r>
    </w:p>
    <w:p>
      <w:pPr>
        <w:pStyle w:val="Normal"/>
        <w:rPr>
          <w:b/>
          <w:b/>
        </w:rPr>
      </w:pPr>
      <w:r>
        <w:rPr/>
        <w:t>Prot. n. 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r>
        <w:rPr/>
        <w:t xml:space="preserve">Il/La sottoscritto/a 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 </w:t>
      </w:r>
      <w:r>
        <w:rPr/>
        <w:t xml:space="preserve">in data 28/03/2023  è stata stipulata una Convenzione (Rep. 920 del 28/03/2023) tra la Città Metropolitana di Torino e il Fornitore </w:t>
      </w:r>
      <w:r>
        <w:rPr>
          <w:b/>
          <w:bCs/>
        </w:rPr>
        <w:t>RTI DEL VECCHIO S.R.L./GRUPPO SIMET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1 - Enti dell’ambito territoriale della Città metropolitana di Torino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DAAB2C-26CC-44DE-B71A-D368F6BC6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LibreOffice/7.2.6.2$Windows_X86_64 LibreOffice_project/b0ec3a565991f7569a5a7f5d24fed7f52653d754</Application>
  <AppVersion>15.0000</AppVersion>
  <Pages>3</Pages>
  <Words>347</Words>
  <Characters>2649</Characters>
  <CharactersWithSpaces>2970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2023-03-29T09:56:42Z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