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single"/>
        </w:rPr>
        <w:t>CITTA’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none"/>
        </w:rPr>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none"/>
        </w:rPr>
        <w:t xml:space="preserve"> </w:t>
      </w:r>
      <w:r>
        <w:rPr>
          <w:rFonts w:cs="Palatino Linotype" w:ascii="Palatino Linotype" w:hAnsi="Palatino Linotype"/>
          <w:b/>
          <w:sz w:val="24"/>
          <w:szCs w:val="24"/>
          <w:u w:val="none"/>
        </w:rPr>
        <w:t>AVVISO PUBBLICO</w:t>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2"/>
          <w:szCs w:val="22"/>
        </w:rPr>
      </w:pPr>
      <w:r>
        <w:rPr>
          <w:rFonts w:cs="Palatino Linotype" w:ascii="Palatino Linotype" w:hAnsi="Palatino Linotype"/>
          <w:sz w:val="22"/>
          <w:szCs w:val="22"/>
        </w:rPr>
        <w:t xml:space="preserve">Si informa che sono aperti i termini per la presentazione delle candidature, finalizzate alla nomina o alla designazione di rappresentanti della Città Metropolitana di Torino negli Enti sottoelencati, che la Sindaca  dovrà prossimamente effettuare, entro le date previste, ai sensi dell’art. 50, comma 8, del T.U. delle Leggi sull’Ordinamento degli EE.LL., dell’art. 26 dello Statuto della Città Metropolitana di Torino e nel rispetto degli Indirizzi deliberati dal C.P. del 13/10/2009 n. 38675/2009. </w:t>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cs="Palatino Linotype"/>
          <w:b/>
          <w:b/>
          <w:bCs/>
          <w:u w:val="single"/>
        </w:rPr>
      </w:pPr>
      <w:r>
        <w:rPr>
          <w:rFonts w:cs="Palatino Linotype"/>
          <w:b/>
          <w:bCs/>
          <w:u w:val="single"/>
        </w:rPr>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b/>
          <w:bCs/>
          <w:u w:val="none"/>
        </w:rPr>
      </w:pPr>
      <w:r>
        <w:rPr>
          <w:rFonts w:cs="Palatino Linotype" w:ascii="Palatino Linotype" w:hAnsi="Palatino Linotype"/>
          <w:b/>
          <w:bCs/>
          <w:sz w:val="22"/>
          <w:szCs w:val="22"/>
          <w:u w:val="none"/>
        </w:rPr>
        <w:t xml:space="preserve">- </w:t>
      </w:r>
      <w:r>
        <w:rPr>
          <w:rFonts w:eastAsia="Times New Roman" w:cs="Palatino Linotype" w:ascii="Palatino Linotype" w:hAnsi="Palatino Linotype"/>
          <w:b/>
          <w:bCs/>
          <w:color w:val="000000"/>
          <w:kern w:val="0"/>
          <w:sz w:val="22"/>
          <w:szCs w:val="22"/>
          <w:u w:val="none"/>
          <w:lang w:val="it-IT" w:eastAsia="it-IT" w:bidi="ar-SA"/>
        </w:rPr>
        <w:t>SOCETA’ 5 T   S.R.L.</w:t>
      </w:r>
      <w:r>
        <w:rPr>
          <w:rFonts w:cs="Palatino Linotype" w:ascii="Palatino Linotype" w:hAnsi="Palatino Linotype"/>
          <w:b/>
          <w:bCs/>
          <w:sz w:val="22"/>
          <w:szCs w:val="22"/>
          <w:u w:val="none"/>
        </w:rPr>
        <w:t xml:space="preserve"> - Un componente nel Consiglio di Amministrazione</w:t>
      </w:r>
    </w:p>
    <w:p>
      <w:pPr>
        <w:pStyle w:val="Normal"/>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 w:val="false"/>
          <w:bCs w:val="false"/>
          <w:i/>
          <w:iCs/>
          <w:sz w:val="22"/>
          <w:szCs w:val="22"/>
          <w:u w:val="none"/>
        </w:rPr>
        <w:t xml:space="preserve">Ai </w:t>
      </w:r>
      <w:r>
        <w:rPr>
          <w:rFonts w:eastAsia="Times New Roman" w:cs="Palatino Linotype" w:ascii="Palatino Linotype" w:hAnsi="Palatino Linotype"/>
          <w:b w:val="false"/>
          <w:bCs w:val="false"/>
          <w:i/>
          <w:iCs/>
          <w:color w:val="auto"/>
          <w:kern w:val="0"/>
          <w:sz w:val="22"/>
          <w:szCs w:val="22"/>
          <w:u w:val="none"/>
          <w:lang w:val="it-IT" w:eastAsia="it-IT" w:bidi="ar-SA"/>
        </w:rPr>
        <w:t xml:space="preserve">sensi </w:t>
      </w:r>
      <w:r>
        <w:rPr>
          <w:rFonts w:cs="Palatino Linotype" w:ascii="Palatino Linotype" w:hAnsi="Palatino Linotype"/>
          <w:b w:val="false"/>
          <w:bCs w:val="false"/>
          <w:i/>
          <w:iCs/>
          <w:sz w:val="22"/>
          <w:szCs w:val="22"/>
          <w:u w:val="none"/>
        </w:rPr>
        <w:t xml:space="preserve"> dei patti parasociali siglati in data 31.1.2020, Città di Torino, Regione Piemonte e  Città Metropolitana di Torino  indicheranno, ai sensi art. 2449 </w:t>
      </w:r>
      <w:r>
        <w:rPr>
          <w:rFonts w:ascii="Palatino Linotype" w:hAnsi="Palatino Linotype"/>
          <w:i/>
          <w:iCs/>
          <w:sz w:val="22"/>
          <w:szCs w:val="22"/>
          <w:u w:val="none"/>
        </w:rPr>
        <w:t>C.C., un membro ciascuno del Consiglio di Amministrazione. I</w:t>
      </w:r>
      <w:r>
        <w:rPr>
          <w:rFonts w:eastAsia="Times New Roman" w:cs="Times New Roman" w:ascii="Palatino Linotype" w:hAnsi="Palatino Linotype"/>
          <w:i/>
          <w:iCs/>
          <w:color w:val="auto"/>
          <w:kern w:val="0"/>
          <w:sz w:val="22"/>
          <w:szCs w:val="22"/>
          <w:u w:val="none"/>
          <w:lang w:val="it-IT" w:eastAsia="it-IT" w:bidi="ar-SA"/>
        </w:rPr>
        <w:t xml:space="preserve"> componenti del CdA </w:t>
      </w:r>
      <w:r>
        <w:rPr>
          <w:rFonts w:ascii="Palatino Linotype" w:hAnsi="Palatino Linotype"/>
          <w:i/>
          <w:iCs/>
          <w:sz w:val="22"/>
          <w:szCs w:val="22"/>
          <w:u w:val="none"/>
        </w:rPr>
        <w:t>dovranno avere competenze legate al mondo dei trasporti, dell’ITC, del diritto societario e della gestione aziendale.</w:t>
      </w:r>
    </w:p>
    <w:p>
      <w:pPr>
        <w:pStyle w:val="Normal"/>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
          <w:b/>
          <w:bCs/>
          <w:sz w:val="21"/>
          <w:szCs w:val="21"/>
        </w:rPr>
      </w:pPr>
      <w:r>
        <w:rPr>
          <w:rFonts w:cs="Palatino Linotype" w:ascii="Palatino Linotype" w:hAnsi="Palatino Linotype"/>
          <w:b/>
          <w:bCs/>
          <w:sz w:val="21"/>
          <w:szCs w:val="21"/>
        </w:rPr>
      </w:r>
    </w:p>
    <w:p>
      <w:pPr>
        <w:pStyle w:val="Normal"/>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eastAsia="Times New Roman" w:cs="Times New Roman" w:ascii="Palatino Linotype" w:hAnsi="Palatino Linotype"/>
          <w:b/>
          <w:bCs w:val="false"/>
          <w:color w:val="000000"/>
          <w:kern w:val="0"/>
          <w:sz w:val="21"/>
          <w:szCs w:val="21"/>
          <w:u w:val="single"/>
          <w:lang w:val="it-IT" w:eastAsia="it-IT" w:bidi="ar-SA"/>
        </w:rPr>
        <w:t xml:space="preserve">Le candidature potranno essere presentate dal  20 Marzo </w:t>
      </w:r>
      <w:r>
        <w:rPr>
          <w:rFonts w:eastAsia="Times New Roman" w:cs="Times New Roman" w:ascii="Palatino Linotype" w:hAnsi="Palatino Linotype"/>
          <w:b/>
          <w:bCs w:val="false"/>
          <w:color w:val="000000"/>
          <w:kern w:val="0"/>
          <w:sz w:val="21"/>
          <w:szCs w:val="21"/>
          <w:u w:val="single"/>
          <w:lang w:val="it-IT" w:eastAsia="it-IT" w:bidi="ar-SA"/>
        </w:rPr>
        <w:t xml:space="preserve">al 3 Aprile  </w:t>
      </w:r>
      <w:r>
        <w:rPr>
          <w:rFonts w:eastAsia="Times New Roman" w:cs="Times New Roman" w:ascii="Palatino Linotype" w:hAnsi="Palatino Linotype"/>
          <w:b/>
          <w:bCs w:val="false"/>
          <w:color w:val="000000"/>
          <w:kern w:val="0"/>
          <w:sz w:val="21"/>
          <w:szCs w:val="21"/>
          <w:u w:val="single"/>
          <w:lang w:val="it-IT" w:eastAsia="it-IT" w:bidi="ar-SA"/>
        </w:rPr>
        <w:t>2020 .</w:t>
      </w:r>
    </w:p>
    <w:p>
      <w:pPr>
        <w:pStyle w:val="Normal"/>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Times New Roman"/>
          <w:b/>
          <w:b/>
          <w:sz w:val="21"/>
          <w:szCs w:val="21"/>
        </w:rPr>
      </w:pPr>
      <w:r>
        <w:rPr>
          <w:rFonts w:cs="Times New Roman" w:ascii="Palatino Linotype" w:hAnsi="Palatino Linotype"/>
          <w:b/>
          <w:sz w:val="21"/>
          <w:szCs w:val="21"/>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0"/>
          <w:szCs w:val="20"/>
        </w:rPr>
      </w:pPr>
      <w:r>
        <w:rPr>
          <w:rFonts w:eastAsia="Times New Roman" w:cs="Palatino Linotype" w:ascii="Palatino Linotype" w:hAnsi="Palatino Linotype"/>
          <w:b w:val="false"/>
          <w:bCs/>
          <w:color w:val="000000"/>
          <w:kern w:val="0"/>
          <w:sz w:val="21"/>
          <w:szCs w:val="21"/>
          <w:u w:val="none"/>
          <w:lang w:val="it-IT" w:eastAsia="it-IT" w:bidi="ar-SA"/>
        </w:rPr>
        <w:t>I</w:t>
      </w:r>
      <w:r>
        <w:rPr>
          <w:rFonts w:eastAsia="Times New Roman" w:cs="Palatino Linotype" w:ascii="Palatino Linotype" w:hAnsi="Palatino Linotype"/>
          <w:b w:val="false"/>
          <w:bCs w:val="false"/>
          <w:color w:val="000000"/>
          <w:kern w:val="0"/>
          <w:sz w:val="21"/>
          <w:szCs w:val="21"/>
          <w:u w:val="none"/>
          <w:lang w:val="it-IT" w:eastAsia="it-IT" w:bidi="ar-SA"/>
        </w:rPr>
        <w:t xml:space="preserve"> requisiti soggettivi, l</w:t>
      </w:r>
      <w:r>
        <w:rPr>
          <w:rFonts w:cs="Palatino Linotype" w:ascii="Palatino Linotype" w:hAnsi="Palatino Linotype"/>
          <w:sz w:val="21"/>
          <w:szCs w:val="21"/>
        </w:rPr>
        <w:t>e cause di incompatibilità e le norme procedurali per l’effettuazione delle nomine e delle designazioni sono disciplinati con la deliberazione di Indirizzi del Consiglio Provinciale  del 13/10/2009 n. 38675/2009.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1"/>
          <w:szCs w:val="21"/>
        </w:rPr>
        <w:t xml:space="preserve">Copia dei </w:t>
      </w:r>
      <w:hyperlink r:id="rId2">
        <w:r>
          <w:rPr>
            <w:rStyle w:val="CollegamentoInternetvisitato"/>
            <w:rFonts w:cs="Palatino Linotype" w:ascii="Palatino Linotype" w:hAnsi="Palatino Linotype"/>
            <w:sz w:val="21"/>
            <w:szCs w:val="21"/>
          </w:rPr>
          <w:t xml:space="preserve">modelli di domanda, le schede informative degli Enti, la dichiarazione sulla insussistenza di cause di inconferibilità e incompatibilità ai sensi dell’art. 20, comma 1 e 2 del D.lgs. 39/2013, l’informativa ai sensi dell’art. 13 del GDPR 2016/679, </w:t>
        </w:r>
      </w:hyperlink>
      <w:r>
        <w:rPr>
          <w:rFonts w:cs="Palatino Linotype" w:ascii="Palatino Linotype" w:hAnsi="Palatino Linotype"/>
          <w:sz w:val="21"/>
          <w:szCs w:val="21"/>
        </w:rPr>
        <w:t>in materia di Privacy  e la sopracitata Deliberazione Consiliare di Indirizzi,  sono consultabili sul sito Internet della Città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hyperlink r:id="rId3">
        <w:bookmarkStart w:id="0" w:name="__DdeLink__378_2927893795"/>
        <w:bookmarkStart w:id="1" w:name="OLE_LINK11"/>
        <w:bookmarkEnd w:id="1"/>
        <w:r>
          <w:rPr>
            <w:rStyle w:val="CollegamentoInternet"/>
            <w:rFonts w:cs="Palatino Linotype" w:ascii="Palatino Linotype" w:hAnsi="Palatino Linotype"/>
            <w:b w:val="false"/>
            <w:bCs w:val="false"/>
            <w:sz w:val="21"/>
            <w:szCs w:val="21"/>
            <w:u w:val="single"/>
          </w:rPr>
          <w:t>http://www.cittametropolitana.torino.it/istituzionale/nomine/index.shtml</w:t>
        </w:r>
      </w:hyperlink>
      <w:bookmarkEnd w:id="0"/>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Style w:val="CollegamentoInternet"/>
          <w:rFonts w:ascii="Palatino Linotype" w:hAnsi="Palatino Linotype"/>
          <w:sz w:val="21"/>
          <w:szCs w:val="21"/>
        </w:rPr>
      </w:pPr>
      <w:r>
        <w:rPr>
          <w:rFonts w:ascii="Palatino Linotype" w:hAnsi="Palatino Linotyp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1"/>
          <w:szCs w:val="21"/>
        </w:rPr>
        <w:t>Ai sensi del’art. 4.3 della Delibera di Indirizzi per le nomine, le domande pervenute successivamente alla data di scadenza, potranno essere prese in considerazione nei casi in cui ciò sia compatibile con le singole scadenze e i tempi tecnici di effettuazione delle nomine.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1"/>
          <w:szCs w:val="21"/>
        </w:rPr>
      </w:pPr>
      <w:r>
        <w:rPr>
          <w:rFonts w:ascii="Palatino Linotype" w:hAnsi="Palatino Linotype"/>
          <w:sz w:val="21"/>
          <w:szCs w:val="21"/>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sz w:val="21"/>
          <w:szCs w:val="21"/>
        </w:rPr>
        <w:t xml:space="preserve">Le candidature, </w:t>
      </w:r>
      <w:r>
        <w:rPr>
          <w:rFonts w:cs="Palatino Linotype" w:ascii="Palatino Linotype" w:hAnsi="Palatino Linotype"/>
          <w:b/>
          <w:bCs/>
          <w:sz w:val="21"/>
          <w:szCs w:val="21"/>
          <w:u w:val="single"/>
        </w:rPr>
        <w:t>corredate da fotocopia di un documento di identità in corso di validità</w:t>
      </w:r>
      <w:r>
        <w:rPr>
          <w:rFonts w:cs="Palatino Linotype" w:ascii="Palatino Linotype" w:hAnsi="Palatino Linotype"/>
          <w:b/>
          <w:bCs/>
          <w:sz w:val="21"/>
          <w:szCs w:val="21"/>
          <w:u w:val="none"/>
        </w:rPr>
        <w:t xml:space="preserve">  e da un Curriculum Vitae allegato</w:t>
      </w:r>
      <w:r>
        <w:rPr>
          <w:rFonts w:cs="Palatino Linotype" w:ascii="Palatino Linotype" w:hAnsi="Palatino Linotype"/>
          <w:sz w:val="21"/>
          <w:szCs w:val="21"/>
        </w:rPr>
        <w:t xml:space="preserve">, potranno essere inoltrate per Posta Elettronica Certificata (PEC) indicando nell’oggetto </w:t>
      </w:r>
      <w:r>
        <w:rPr>
          <w:rFonts w:cs="Palatino Linotype" w:ascii="Palatino Linotype" w:hAnsi="Palatino Linotype"/>
          <w:b/>
          <w:bCs/>
          <w:sz w:val="21"/>
          <w:szCs w:val="21"/>
        </w:rPr>
        <w:t>“Proposta di candidatura per …..“</w:t>
      </w:r>
      <w:r>
        <w:rPr>
          <w:rFonts w:cs="Palatino Linotype" w:ascii="Palatino Linotype" w:hAnsi="Palatino Linotype"/>
          <w:sz w:val="21"/>
          <w:szCs w:val="21"/>
        </w:rPr>
        <w:t xml:space="preserve"> e dovranno essere inviate all’indirizzo: </w:t>
      </w:r>
      <w:hyperlink r:id="rId4">
        <w:r>
          <w:rPr>
            <w:rStyle w:val="CollegamentoInternet"/>
            <w:rFonts w:cs="Palatino Linotype" w:ascii="Palatino Linotype" w:hAnsi="Palatino Linotype"/>
            <w:sz w:val="21"/>
            <w:szCs w:val="21"/>
            <w:u w:val="none"/>
          </w:rPr>
          <w:t>protocollo@cert.cittametropolitana.torino.it</w:t>
        </w:r>
      </w:hyperlink>
      <w:r>
        <w:rPr>
          <w:rStyle w:val="CollegamentoInternet"/>
          <w:rFonts w:cs="Palatino Linotype" w:ascii="Palatino Linotype" w:hAnsi="Palatino Linotype"/>
          <w:sz w:val="21"/>
          <w:szCs w:val="21"/>
          <w:u w:val="none"/>
        </w:rPr>
        <w:t xml:space="preserve"> </w:t>
      </w:r>
      <w:r>
        <w:rPr>
          <w:rFonts w:cs="Palatino Linotype" w:ascii="Palatino Linotype" w:hAnsi="Palatino Linotype"/>
          <w:b w:val="false"/>
          <w:bCs w:val="false"/>
          <w:sz w:val="21"/>
          <w:szCs w:val="21"/>
        </w:rPr>
        <w:t xml:space="preserve">attenendosi alle disposizioni indicate sul Sito Istituzionale nonchè all’indirizzo </w:t>
      </w:r>
      <w:hyperlink r:id="rId5">
        <w:r>
          <w:rPr>
            <w:rStyle w:val="CollegamentoInternet"/>
            <w:rFonts w:cs="Palatino Linotype" w:ascii="Palatino Linotype" w:hAnsi="Palatino Linotype"/>
            <w:b w:val="false"/>
            <w:bCs w:val="false"/>
            <w:sz w:val="21"/>
            <w:szCs w:val="21"/>
          </w:rPr>
          <w:t>donatella.ficozzi@cittametropolitana.torino.it</w:t>
        </w:r>
      </w:hyperlink>
      <w:r>
        <w:rPr>
          <w:rFonts w:cs="Palatino Linotype" w:ascii="Palatino Linotype" w:hAnsi="Palatino Linotype"/>
          <w:b w:val="false"/>
          <w:bCs w:val="false"/>
          <w:sz w:val="21"/>
          <w:szCs w:val="21"/>
        </w:rPr>
        <w:t>.</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b/>
          <w:bCs/>
          <w:sz w:val="21"/>
          <w:szCs w:val="21"/>
          <w:u w:val="single"/>
        </w:rPr>
        <w:t>Non saranno prese in considerazione le candidature che non verranno inoltrate ad entrambi gli indirizzi di posta elettronica sopra evidenziati.</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Style w:val="CollegamentoInternet"/>
          <w:rFonts w:ascii="Palatino Linotype" w:hAnsi="Palatino Linotype" w:cs="Palatino Linotype"/>
          <w:b/>
          <w:b/>
          <w:bCs/>
          <w:sz w:val="21"/>
          <w:szCs w:val="21"/>
        </w:rPr>
      </w:pPr>
      <w:r>
        <w:rPr>
          <w:rFonts w:cs="Palatino Linotype" w:ascii="Palatino Linotype" w:hAnsi="Palatino Linotype"/>
          <w:b/>
          <w:bCs/>
          <w:sz w:val="21"/>
          <w:szCs w:val="21"/>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sz w:val="21"/>
          <w:szCs w:val="21"/>
        </w:rPr>
        <w:t>Potranno inoltre essere presentate a mezzo fax, al numero 011 – 861/4427 e per posta  raccomandata,  per le quali farà fede il timbro postale.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1"/>
          <w:szCs w:val="21"/>
        </w:rPr>
      </w:pPr>
      <w:r>
        <w:rPr>
          <w:rFonts w:cs="Palatino Linotype" w:ascii="Palatino Linotype" w:hAnsi="Palatino Linotyp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b w:val="false"/>
          <w:bCs w:val="false"/>
          <w:sz w:val="21"/>
          <w:szCs w:val="21"/>
        </w:rPr>
        <w:t xml:space="preserve">Si ricorda che, ai sensi dell’art. 20, comma 2, del D.Lgs. 39/2013, i nominati in organi amministrativi </w:t>
      </w:r>
      <w:r>
        <w:rPr>
          <w:rFonts w:cs="Palatino Linotype" w:ascii="Palatino Linotype" w:hAnsi="Palatino Linotype"/>
          <w:b w:val="false"/>
          <w:bCs w:val="false"/>
          <w:sz w:val="21"/>
          <w:szCs w:val="21"/>
          <w:u w:val="single"/>
        </w:rPr>
        <w:t>sono tenuti a presentare annualmente una dichiarazione sulla insussistenza di cause di incompatibilità qualora, le stesse, si siano verificate successivamente alla nomina.</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val="false"/>
          <w:b w:val="false"/>
          <w:bCs w:val="false"/>
          <w:sz w:val="21"/>
          <w:szCs w:val="21"/>
        </w:rPr>
      </w:pPr>
      <w:r>
        <w:rPr>
          <w:rFonts w:cs="Palatino Linotype" w:ascii="Palatino Linotype" w:hAnsi="Palatino Linotype"/>
          <w:b w:val="false"/>
          <w:bCs w:val="fals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cs="Palatino Linotype" w:ascii="Palatino Linotype" w:hAnsi="Palatino Linotype"/>
          <w:b/>
          <w:bCs/>
          <w:sz w:val="21"/>
          <w:szCs w:val="21"/>
        </w:rPr>
        <w:t>Tale dichiarazione, scaricabile nella sezione moduli, sarà pubblicata sul Sito web della Città Metropolitana di Torino, ai sensi dell’art. 20, comma 3, del D.Lgs.  39/2013.</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1"/>
          <w:szCs w:val="21"/>
        </w:rPr>
      </w:pPr>
      <w:r>
        <w:rPr>
          <w:rFonts w:cs="Palatino Linotype" w:ascii="Palatino Linotype" w:hAnsi="Palatino Linotype"/>
          <w:b/>
          <w:bCs/>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1"/>
          <w:szCs w:val="21"/>
        </w:rPr>
      </w:pPr>
      <w:r>
        <w:rPr>
          <w:rFonts w:cs="Palatino Linotype" w:ascii="Palatino Linotype" w:hAnsi="Palatino Linotype"/>
          <w:b w:val="false"/>
          <w:bCs w:val="false"/>
          <w:sz w:val="21"/>
          <w:szCs w:val="21"/>
          <w:u w:val="none"/>
        </w:rPr>
        <w:t xml:space="preserve">Si rammenta altresì che, ai sensi dell’art 15 del  D.Lgs. 39/2013,  la vigilanza e l’applicazione delle previste sanzioni a carico di soggetti che si trovino in condizioni </w:t>
      </w:r>
      <w:r>
        <w:rPr>
          <w:rFonts w:ascii="Palatino Linotype" w:hAnsi="Palatino Linotype"/>
          <w:b w:val="false"/>
          <w:bCs w:val="false"/>
          <w:sz w:val="21"/>
          <w:szCs w:val="21"/>
        </w:rPr>
        <w:t>di inconferibilità e incompatibilità è esercitata dal Responsabile Anticorruzione dell’Ente.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b w:val="false"/>
          <w:b w:val="false"/>
          <w:bCs w:val="false"/>
          <w:sz w:val="21"/>
          <w:szCs w:val="21"/>
        </w:rPr>
      </w:pPr>
      <w:r>
        <w:rPr>
          <w:rFonts w:ascii="Palatino Linotype" w:hAnsi="Palatino Linotype"/>
          <w:b w:val="false"/>
          <w:bCs w:val="fals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i w:val="false"/>
          <w:iCs w:val="false"/>
          <w:sz w:val="21"/>
          <w:szCs w:val="21"/>
        </w:rPr>
        <w:t>Coloro che hanno presentato domande di candidatura potranno ottenere informazioni sui Decreti di nomina o di designazione effettuati consultando il Sito Istituzionale nella Sezione Albo Pretorio e Atti – Decreti del Sindaco Metropolitano.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1"/>
          <w:szCs w:val="21"/>
        </w:rPr>
        <w:tab/>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1"/>
          <w:szCs w:val="21"/>
        </w:rPr>
        <w:tab/>
        <w:tab/>
        <w:tab/>
        <w:tab/>
        <w:tab/>
        <w:tab/>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1"/>
          <w:szCs w:val="21"/>
        </w:rPr>
      </w:pPr>
      <w:r>
        <w:rPr>
          <w:rFonts w:cs="Palatino Linotype" w:ascii="Palatino Linotype" w:hAnsi="Palatino Linotyp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1"/>
          <w:szCs w:val="21"/>
        </w:rPr>
        <w:t>Torino, 20 marzo 2020</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1"/>
          <w:szCs w:val="21"/>
        </w:rPr>
      </w:pPr>
      <w:r>
        <w:rPr>
          <w:rFonts w:cs="Palatino Linotype" w:ascii="Palatino Linotype" w:hAnsi="Palatino Linotyp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1"/>
          <w:szCs w:val="21"/>
        </w:rPr>
      </w:pPr>
      <w:r>
        <w:rPr>
          <w:rFonts w:cs="Palatino Linotype" w:ascii="Palatino Linotype" w:hAnsi="Palatino Linotyp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1"/>
          <w:szCs w:val="21"/>
        </w:rPr>
      </w:pPr>
      <w:r>
        <w:rPr>
          <w:rFonts w:cs="Palatino Linotype" w:ascii="Palatino Linotype" w:hAnsi="Palatino Linotyp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cs="Palatino Linotype" w:ascii="Palatino Linotype" w:hAnsi="Palatino Linotype"/>
          <w:sz w:val="21"/>
          <w:szCs w:val="21"/>
        </w:rPr>
        <w:tab/>
        <w:tab/>
        <w:tab/>
        <w:tab/>
        <w:tab/>
        <w:tab/>
        <w:tab/>
        <w:tab/>
        <w:tab/>
        <w:t>Il  Dirigente della Direzione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1"/>
          <w:szCs w:val="21"/>
        </w:rPr>
        <w:tab/>
        <w:tab/>
        <w:tab/>
        <w:tab/>
        <w:tab/>
        <w:tab/>
        <w:tab/>
        <w:tab/>
        <w:t xml:space="preserve">    </w:t>
        <w:tab/>
        <w:t xml:space="preserve">      Servizi Istituzionali </w:t>
        <w:tab/>
        <w:tab/>
        <w:tab/>
        <w:tab/>
        <w:t xml:space="preserve"> </w:t>
        <w:tab/>
        <w:tab/>
        <w:tab/>
        <w:tab/>
        <w:tab/>
        <w:tab/>
        <w:t xml:space="preserve">        </w:t>
      </w:r>
      <w:r>
        <w:rPr>
          <w:rFonts w:cs="Palatino Linotype" w:ascii="Palatino Linotype" w:hAnsi="Palatino Linotype"/>
          <w:b/>
          <w:bCs/>
          <w:sz w:val="21"/>
          <w:szCs w:val="21"/>
        </w:rPr>
        <w:t xml:space="preserve">         Dott. Alberto Bignone</w:t>
      </w:r>
    </w:p>
    <w:sectPr>
      <w:footerReference w:type="default" r:id="rId6"/>
      <w:type w:val="nextPage"/>
      <w:pgSz w:w="11906" w:h="16838"/>
      <w:pgMar w:left="1416" w:right="1133" w:header="0" w:top="1133" w:footer="720" w:bottom="113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ms Rmn">
    <w:altName w:val="Times New Roman"/>
    <w:charset w:val="00"/>
    <w:family w:val="roman"/>
    <w:pitch w:val="variable"/>
  </w:font>
  <w:font w:name="Palatino Linotype">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drFtr"/>
      <w:shd w:val="clear" w:fill="FFFFFF"/>
      <w:tabs>
        <w:tab w:val="center" w:pos="5040" w:leader="none"/>
        <w:tab w:val="right" w:pos="9354" w:leader="none"/>
        <w:tab w:val="right" w:pos="10080" w:leader="none"/>
      </w:tabs>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pStyle w:val="Tito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pPrDefault>
  </w:docDefaults>
  <w:style w:type="paragraph" w:styleId="Normal">
    <w:name w:val="Normal"/>
    <w:qFormat/>
    <w:pPr>
      <w:widowControl/>
      <w:suppressAutoHyphens w:val="true"/>
      <w:overflowPunct w:val="true"/>
      <w:bidi w:val="0"/>
      <w:spacing w:before="0" w:after="0"/>
      <w:jc w:val="left"/>
    </w:pPr>
    <w:rPr>
      <w:rFonts w:ascii="Tms Rmn;Times New Roman" w:hAnsi="Tms Rmn;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numPr>
        <w:ilvl w:val="0"/>
        <w:numId w:val="1"/>
      </w:numPr>
      <w:outlineLvl w:val="0"/>
    </w:pPr>
    <w:rPr>
      <w:rFonts w:ascii="Times New Roman" w:hAnsi="Times New Roman" w:cs="Times New Roman"/>
      <w:b/>
      <w:bCs/>
      <w:sz w:val="24"/>
      <w:szCs w:val="24"/>
    </w:rPr>
  </w:style>
  <w:style w:type="paragraph" w:styleId="Titolo2">
    <w:name w:val="Heading 2"/>
    <w:basedOn w:val="Normal"/>
    <w:next w:val="Normal"/>
    <w:qFormat/>
    <w:pPr>
      <w:keepNext w:val="true"/>
      <w:numPr>
        <w:ilvl w:val="1"/>
        <w:numId w:val="1"/>
      </w:numPr>
      <w:outlineLvl w:val="1"/>
    </w:pPr>
    <w:rPr>
      <w:rFonts w:ascii="Times New Roman" w:hAnsi="Times New Roman" w:cs="Times New Roman"/>
      <w:b/>
      <w:bCs/>
      <w:szCs w:val="24"/>
    </w:rPr>
  </w:style>
  <w:style w:type="paragraph" w:styleId="Titolo3">
    <w:name w:val="Heading 3"/>
    <w:basedOn w:val="Normal"/>
    <w:next w:val="Normal"/>
    <w:qFormat/>
    <w:pPr>
      <w:keepNext w:val="true"/>
      <w:numPr>
        <w:ilvl w:val="2"/>
        <w:numId w:val="1"/>
      </w:numPr>
      <w:outlineLvl w:val="2"/>
    </w:pPr>
    <w:rPr>
      <w:b/>
      <w:bCs/>
      <w:sz w:val="24"/>
      <w:u w:val="single"/>
    </w:rPr>
  </w:style>
  <w:style w:type="paragraph" w:styleId="Titolo5">
    <w:name w:val="Heading 5"/>
    <w:basedOn w:val="Normal"/>
    <w:next w:val="Normal"/>
    <w:qFormat/>
    <w:pPr>
      <w:keepNext w:val="true"/>
      <w:numPr>
        <w:ilvl w:val="4"/>
        <w:numId w:val="1"/>
      </w:numPr>
      <w:outlineLvl w:val="4"/>
    </w:pPr>
    <w:rPr>
      <w:rFonts w:ascii="Times New Roman" w:hAnsi="Times New Roman" w:cs="Times New Roman"/>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Palatino Linotype" w:hAnsi="Palatino Linotype" w:eastAsia="Times New Roman" w:cs="Times New Roman"/>
      <w:b/>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i/>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b/>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Palatino Linotype" w:hAnsi="Palatino Linotype" w:eastAsia="Times New Roman" w:cs="Times New Roman"/>
      <w:b/>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b/>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Palatino Linotype" w:hAnsi="Palatino Linotype"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Times New Roman" w:hAnsi="Times;Times New Roman" w:eastAsia="Times New Roman" w:cs="Times;Times New Roman"/>
      <w:b/>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Carpredefinitoparagrafo">
    <w:name w:val="Car. predefinito paragrafo"/>
    <w:qFormat/>
    <w:rPr/>
  </w:style>
  <w:style w:type="character" w:styleId="CollegamentoInternet">
    <w:name w:val="Collegamento Internet"/>
    <w:basedOn w:val="Carpredefinitoparagrafo"/>
    <w:rPr>
      <w:color w:val="0000FF"/>
      <w:u w:val="single"/>
    </w:rPr>
  </w:style>
  <w:style w:type="character" w:styleId="CollegamentoInternetvisitato">
    <w:name w:val="Collegamento Internet visitato"/>
    <w:basedOn w:val="Carpredefinitoparagrafo"/>
    <w:rPr>
      <w:color w:val="800080"/>
      <w:u w:val="single"/>
    </w:rPr>
  </w:style>
  <w:style w:type="paragraph" w:styleId="Titolo">
    <w:name w:val="Titolo"/>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name w:val="normal_"/>
    <w:basedOn w:val="Normal"/>
    <w:qFormat/>
    <w:pPr>
      <w:spacing w:lineRule="atLeast" w:line="239"/>
    </w:pPr>
    <w:rPr>
      <w:rFonts w:ascii="Times;Times New Roman" w:hAnsi="Times;Times New Roman" w:cs="Times;Times New Roman"/>
      <w:color w:val="000000"/>
      <w:sz w:val="24"/>
      <w:u w:val="none"/>
    </w:rPr>
  </w:style>
  <w:style w:type="paragraph" w:styleId="Cell">
    <w:name w:val="Cell"/>
    <w:basedOn w:val="Normal"/>
    <w:qFormat/>
    <w:pPr>
      <w:spacing w:lineRule="atLeast" w:line="239"/>
    </w:pPr>
    <w:rPr>
      <w:rFonts w:ascii="Times;Times New Roman" w:hAnsi="Times;Times New Roman" w:cs="Times;Times New Roman"/>
      <w:color w:val="000000"/>
      <w:sz w:val="24"/>
      <w:u w:val="none"/>
    </w:rPr>
  </w:style>
  <w:style w:type="paragraph" w:styleId="Footnote">
    <w:name w:val="Footnote"/>
    <w:basedOn w:val="Normal"/>
    <w:qFormat/>
    <w:pPr>
      <w:spacing w:lineRule="atLeast" w:line="239"/>
    </w:pPr>
    <w:rPr>
      <w:rFonts w:ascii="Times;Times New Roman" w:hAnsi="Times;Times New Roman" w:cs="Times;Times New Roman"/>
      <w:color w:val="000000"/>
      <w:sz w:val="24"/>
      <w:u w:val="none"/>
    </w:rPr>
  </w:style>
  <w:style w:type="paragraph" w:styleId="HdrFtr">
    <w:name w:val="HdrFtr"/>
    <w:basedOn w:val="Normal"/>
    <w:qFormat/>
    <w:pPr>
      <w:tabs>
        <w:tab w:val="clear" w:pos="720"/>
        <w:tab w:val="center" w:pos="5040" w:leader="none"/>
        <w:tab w:val="right" w:pos="10080" w:leader="none"/>
      </w:tabs>
      <w:spacing w:lineRule="atLeast" w:line="239"/>
    </w:pPr>
    <w:rPr>
      <w:rFonts w:ascii="Times;Times New Roman" w:hAnsi="Times;Times New Roman" w:cs="Times;Times New Roman"/>
      <w:color w:val="000000"/>
      <w:sz w:val="24"/>
      <w:u w:val="none"/>
    </w:rPr>
  </w:style>
  <w:style w:type="paragraph" w:styleId="AxNormal">
    <w:name w:val="axNormal"/>
    <w:basedOn w:val="Normal"/>
    <w:qFormat/>
    <w:pPr>
      <w:tabs>
        <w:tab w:val="left" w:pos="720" w:leader="none"/>
        <w:tab w:val="left" w:pos="1440" w:leader="none"/>
        <w:tab w:val="left" w:pos="2160" w:leader="none"/>
      </w:tabs>
      <w:spacing w:lineRule="atLeast" w:line="239"/>
    </w:pPr>
    <w:rPr>
      <w:rFonts w:ascii="Times;Times New Roman" w:hAnsi="Times;Times New Roman" w:cs="Times;Times New Roman"/>
      <w:color w:val="000000"/>
      <w:sz w:val="24"/>
      <w:u w:val="none"/>
    </w:rPr>
  </w:style>
  <w:style w:type="paragraph" w:styleId="Htmlhyperlinktext">
    <w:name w:val="html_hyperlink_text"/>
    <w:basedOn w:val="Normal"/>
    <w:qFormat/>
    <w:pPr>
      <w:spacing w:lineRule="atLeast" w:line="239"/>
    </w:pPr>
    <w:rPr>
      <w:rFonts w:ascii="Times;Times New Roman" w:hAnsi="Times;Times New Roman" w:cs="Times;Times New Roman"/>
      <w:color w:val="000000"/>
      <w:sz w:val="24"/>
      <w:u w:val="single"/>
    </w:rPr>
  </w:style>
  <w:style w:type="paragraph" w:styleId="Corpodeltesto3">
    <w:name w:val="Corpo del testo 3"/>
    <w:basedOn w:val="Normal"/>
    <w:qFormat/>
    <w:pPr/>
    <w:rPr>
      <w:rFonts w:ascii="Times New Roman" w:hAnsi="Times New Roman" w:cs="Times New Roman"/>
      <w:b/>
      <w:bCs/>
      <w:szCs w:val="24"/>
    </w:rPr>
  </w:style>
  <w:style w:type="paragraph" w:styleId="Testofumetto">
    <w:name w:val="Testo fumetto"/>
    <w:basedOn w:val="Normal"/>
    <w:qFormat/>
    <w:pPr/>
    <w:rPr>
      <w:rFonts w:ascii="Tahoma" w:hAnsi="Tahoma" w:cs="Tahoma"/>
      <w:sz w:val="16"/>
      <w:szCs w:val="16"/>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20"/>
        <w:tab w:val="center" w:pos="4819" w:leader="none"/>
        <w:tab w:val="right" w:pos="9638" w:leader="none"/>
      </w:tabs>
    </w:pPr>
    <w:rPr/>
  </w:style>
  <w:style w:type="paragraph" w:styleId="Normal2">
    <w:name w:val="Normal_"/>
    <w:basedOn w:val="Normal"/>
    <w:qFormat/>
    <w:pPr>
      <w:widowControl/>
      <w:overflowPunct w:val="false"/>
      <w:spacing w:lineRule="atLeast" w:line="239"/>
    </w:pPr>
    <w:rPr>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tametropolitana.torino.it/istituzionale/nomine/index.shtml" TargetMode="External"/><Relationship Id="rId3" Type="http://schemas.openxmlformats.org/officeDocument/2006/relationships/hyperlink" Target="http://www.cittametropolitana.torino.it/istituzionale/nomine/index.shtml" TargetMode="External"/><Relationship Id="rId4" Type="http://schemas.openxmlformats.org/officeDocument/2006/relationships/hyperlink" Target="mailto:protocollo@cert.cittametropolitana.torino.it" TargetMode="External"/><Relationship Id="rId5" Type="http://schemas.openxmlformats.org/officeDocument/2006/relationships/hyperlink" Target="mailto:donatella.ficozzi@cittametropolitana.torino.it"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Template>
  <TotalTime>428</TotalTime>
  <Application>LibreOffice/6.3.4.2$Windows_X86_64 LibreOffice_project/60da17e045e08f1793c57c00ba83cdfce946d0aa</Application>
  <Pages>2</Pages>
  <Words>531</Words>
  <Characters>3298</Characters>
  <CharactersWithSpaces>3938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2018-03-16T10:41:00Z</dcterms:created>
  <dc:creator>laurenti</dc:creator>
  <dc:description/>
  <dc:language>it-IT</dc:language>
  <cp:lastModifiedBy/>
  <cp:lastPrinted>2020-02-26T12:08:26Z</cp:lastPrinted>
  <dcterms:modified xsi:type="dcterms:W3CDTF">2020-03-18T10:31:56Z</dcterms:modified>
  <cp:revision>106</cp:revision>
  <dc:subject/>
  <dc:title> PROVINCIA DI TORINO </dc:title>
</cp:coreProperties>
</file>