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u w:val="single"/>
        </w:rPr>
        <w:t>SCHEDA INFORMATIVA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</w:rPr>
        <w:t xml:space="preserve">ISTITUTO UNIVERSITARIO DI STUDI EUROPEI DI TORINO - </w:t>
      </w:r>
      <w:r>
        <w:rPr>
          <w:rFonts w:cs="Palatino Linotype" w:ascii="Palatino Linotype" w:hAnsi="Palatino Linotype"/>
          <w:b/>
        </w:rPr>
        <w:t>IUSE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</w:rPr>
        <w:t>Estratto dallo Statuto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u w:val="single"/>
        </w:rPr>
        <w:t>Art. 1 – Denominazione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</w:rPr>
        <w:t>E’ costituita un’Associazione denominata “Istituto Universitario di Studi Europei”.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u w:val="single"/>
        </w:rPr>
        <w:t>Art. 2 – Sede, caratteristiche dell’Ente ed ambito d’azione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</w:rPr>
        <w:t>L’Istituto Universitario di Studi Europei, con sede in Torino, è un’Associazione senza scopo di lucro che opera sul territorio della Regione Piemonte, iscritto nel Registro Regionale Centralizzato Provvisorio delle Persone Giuridiche, con Determina n. 1285 del 16 novembre 2004.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b w:val="false"/>
          <w:b w:val="false"/>
          <w:bCs w:val="false"/>
        </w:rPr>
      </w:pPr>
      <w:r>
        <w:rPr>
          <w:rFonts w:cs="Palatino Linotype" w:ascii="Palatino Linotype" w:hAnsi="Palatino Linotype"/>
          <w:b w:val="false"/>
          <w:bCs w:val="fals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bCs/>
          <w:u w:val="single"/>
        </w:rPr>
        <w:t>Art. 3 – Scopi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L’Istituto Universitario di Studi Europei ha per scopo la ricerca scientifica e la formazione nel campo dell’integrazione europea e dei rapporti internazionali e, attraverso tale attività, la preparazione di esperti e funzionari della vita internazionale; la promozione e la valorizzazione, anche attraverso il collegamento con organismi europei ed internazionali, di iniziative di enti pubblici, privati, organizzazioni sindacali e di categoria, istituti ed enti culturali e di ricerca nell’ambito della collaborazione europea e dei rapporti internazionali.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L’Istituto adempie ai suoi scopi per mezzo di corsi, centri di ricerche, un centro di documentazione, pubblicazioni ed ogni altra attività che sia consona agli scopi stessi.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b w:val="false"/>
          <w:b w:val="false"/>
          <w:bCs w:val="false"/>
          <w:u w:val="none"/>
        </w:rPr>
      </w:pPr>
      <w:r>
        <w:rPr>
          <w:rFonts w:cs="Palatino Linotype" w:ascii="Palatino Linotype" w:hAnsi="Palatino Linotype"/>
          <w:b w:val="false"/>
          <w:bCs w:val="false"/>
          <w:u w:val="non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bCs/>
          <w:u w:val="single"/>
        </w:rPr>
        <w:t>Art. 6 – Organi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Sono Organi dell’Associazione: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a) l’Assemblea degli associati;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b) il Consiglio di Gestione;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c) il Presidente;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d) il Consiglio Direttivo;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e) Il Comitato Scientifico;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f) il Revisore dei Conti.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/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/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bCs/>
          <w:u w:val="single"/>
        </w:rPr>
        <w:t>Art. 12 – Il Consiglio Direttivo: composizione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Il Consiglio Direttivo è composto da un numero di membri variabile a partire da un minimo di otto fino ad un massimo di venti.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Il Consiglio Direttivo è composto, oltre che dal Presidente dell’Associazione, da alcuni membri eletti a maggioranza assoluta dall’Assemblea. Su approvazione dell’Assemblea, fanno parte del Consiglio Direttivo anche rappresentanti designati da enti pubblici e privati di prestigio e di rilevanza locale e nazionale, fra i quali: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 un membro designato dal Comune di Torino;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 due membri designati dalla regione Piemonte;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/>
          <w:bCs/>
          <w:u w:val="single"/>
        </w:rPr>
        <w:t>° un membro designato dalla Città Metropolitana di Torino;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 un membro designato dalla Compagnia di San Paolo;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 un membro designato dalla Fondazione C.R.T.;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 un membro designato dalla Commissione dell’Unione Europea;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°due membri designati dal Consiglio del Dipartimento di Giurisprudenza dell’Università di Torino.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Essi restano in carica tre anni e sono rieleggibili.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I verbali delle sedute del Consiglio Direttivo devono essere trascritti su un apposito Libro verbale firmato dal Presidente e dal Segretario nominato dal Presidente. Previa approvazione del Consiglio stesso, possono partecipare, a titolo consultivo, alle riunioni del Consiglio, anche rappresentanti di Enti interessati all’attività dell’Associazione.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In caso di dimissioni o morte di un Consigliere o del Presidente, si provvederà alla sua sostituzione fino alla prossima riunione dell’Assemblea.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b w:val="false"/>
          <w:b w:val="false"/>
          <w:bCs w:val="false"/>
          <w:u w:val="none"/>
        </w:rPr>
      </w:pPr>
      <w:r>
        <w:rPr>
          <w:rFonts w:cs="Palatino Linotype" w:ascii="Palatino Linotype" w:hAnsi="Palatino Linotype"/>
          <w:b w:val="false"/>
          <w:bCs w:val="false"/>
          <w:u w:val="non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bCs/>
          <w:u w:val="single"/>
        </w:rPr>
        <w:t>Art. 13 – Il Consiglio Direttivo: funzioni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 xml:space="preserve">Il Consiglio Direttivo è l’organo cui spettano funzioni di natura propositiva. 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Esso: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a) nomina i membri del Comitato Scientifico;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b) approva, sentito il Comitato Scientifico, l’indirizzo culturale ed i programmi di ricerca e didattici dell’Associazione stessa, nonché la concessione di eventuali borse di studio;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c) esamina ed esprime parere consultivo sui bilanci o rendiconti preventivi e consuntivi da sottoporre all’Assemblea degli associati e redatti dal Consiglio di Gestione;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d) propone eventuali modifiche dello Statuto da sottoporre all’Assemblea;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e) approva e propone all’Assemblea nuovi associati;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f) stabilisce l’importo della quota annuale di associazione.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>
          <w:rFonts w:ascii="Palatino Linotype" w:hAnsi="Palatino Linotype" w:cs="Palatino Linotype"/>
          <w:b w:val="false"/>
          <w:b w:val="false"/>
          <w:bCs w:val="false"/>
          <w:u w:val="none"/>
        </w:rPr>
      </w:pPr>
      <w:r>
        <w:rPr>
          <w:rFonts w:cs="Palatino Linotype" w:ascii="Palatino Linotype" w:hAnsi="Palatino Linotype"/>
          <w:b w:val="false"/>
          <w:bCs w:val="false"/>
          <w:u w:val="non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/>
      </w:pPr>
      <w:r>
        <w:rPr>
          <w:rFonts w:cs="Palatino Linotype" w:ascii="Palatino Linotype" w:hAnsi="Palatino Linotype"/>
          <w:b/>
          <w:bCs/>
          <w:u w:val="single"/>
        </w:rPr>
        <w:t>Art. 16 – Il Revisore dei Conti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>
          <w:rFonts w:cs="Palatino Linotype" w:ascii="Palatino Linotype" w:hAnsi="Palatino Linotype"/>
          <w:b w:val="false"/>
          <w:bCs w:val="false"/>
          <w:u w:val="none"/>
        </w:rPr>
        <w:t>Il Revisore dei Conti, che deve essere iscritto all’Albo dei Revisori contabili, è nominato dall’Assemblea ed effettua i controlli secondo le norme di legge.</w:t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center"/>
        <w:rPr>
          <w:rFonts w:ascii="Palatino Linotype" w:hAnsi="Palatino Linotype" w:cs="Palatino Linotype"/>
          <w:b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AxNormal"/>
        <w:widowControl/>
        <w:tabs>
          <w:tab w:val="left" w:pos="288" w:leader="none"/>
          <w:tab w:val="left" w:pos="720" w:leader="none"/>
          <w:tab w:val="left" w:pos="864" w:leader="none"/>
          <w:tab w:val="left" w:pos="1440" w:leader="none"/>
          <w:tab w:val="left" w:pos="2160" w:leader="none"/>
          <w:tab w:val="left" w:pos="3600" w:leader="none"/>
          <w:tab w:val="left" w:pos="5040" w:leader="none"/>
          <w:tab w:val="left" w:pos="6480" w:leader="none"/>
          <w:tab w:val="left" w:pos="7920" w:leader="none"/>
          <w:tab w:val="left" w:pos="9360" w:leader="none"/>
        </w:tabs>
        <w:bidi w:val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6" w:right="1133" w:header="720" w:top="1133" w:footer="354" w:bottom="113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Roman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New 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drFtr"/>
      <w:widowControl/>
      <w:tabs>
        <w:tab w:val="center" w:pos="5040" w:leader="none"/>
        <w:tab w:val="right" w:pos="10080" w:leader="none"/>
        <w:tab w:val="right" w:pos="13680" w:leader="none"/>
      </w:tabs>
      <w:bidi w:val="0"/>
      <w:spacing w:before="0" w:after="144"/>
      <w:ind w:left="0" w:right="0" w:hanging="0"/>
      <w:jc w:val="left"/>
      <w:textAlignment w:val="auto"/>
      <w:rPr>
        <w:rFonts w:ascii="Times" w:hAnsi="Times" w:eastAsia="Times"/>
        <w:color w:val="000000"/>
        <w:sz w:val="24"/>
        <w:szCs w:val="24"/>
        <w:lang w:val="it-IT" w:eastAsia="it-IT"/>
      </w:rPr>
    </w:pPr>
    <w:r>
      <w:rPr>
        <w:rFonts w:eastAsia="Times"/>
        <w:color w:val="000000"/>
        <w:sz w:val="24"/>
        <w:szCs w:val="24"/>
        <w:lang w:val="it-IT" w:eastAsia="it-I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drFtr"/>
      <w:widowControl/>
      <w:tabs>
        <w:tab w:val="center" w:pos="5040" w:leader="none"/>
        <w:tab w:val="right" w:pos="10080" w:leader="none"/>
        <w:tab w:val="right" w:pos="13680" w:leader="none"/>
      </w:tabs>
      <w:bidi w:val="0"/>
      <w:spacing w:before="0" w:after="144"/>
      <w:ind w:left="0" w:right="0" w:hanging="0"/>
      <w:jc w:val="left"/>
      <w:textAlignment w:val="auto"/>
      <w:rPr>
        <w:lang w:val="it-IT"/>
      </w:rPr>
    </w:pPr>
    <w:r>
      <w:rPr>
        <w:rFonts w:eastAsia="Times" w:cs="New Century Schoolbook" w:ascii="New Century Schoolbook" w:hAnsi="New Century Schoolbook"/>
        <w:color w:val="000000"/>
        <w:sz w:val="16"/>
        <w:szCs w:val="24"/>
        <w:lang w:val="it-IT" w:eastAsia="it-IT"/>
      </w:rPr>
      <w:t>C.so Inghilterra n. 7 – 10138 TORINO – Tel. 011 861 6296 / 6271 - P.Iva 01907990012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drFtr"/>
      <w:widowControl/>
      <w:tabs>
        <w:tab w:val="center" w:pos="5040" w:leader="none"/>
        <w:tab w:val="right" w:pos="10080" w:leader="none"/>
        <w:tab w:val="right" w:pos="13680" w:leader="none"/>
      </w:tabs>
      <w:bidi w:val="0"/>
      <w:spacing w:before="0" w:after="144"/>
      <w:ind w:left="0" w:right="0" w:hanging="0"/>
      <w:jc w:val="left"/>
      <w:textAlignment w:val="auto"/>
      <w:rPr>
        <w:rFonts w:ascii="Times" w:hAnsi="Times" w:eastAsia="Times"/>
        <w:color w:val="000000"/>
        <w:sz w:val="24"/>
        <w:szCs w:val="24"/>
        <w:lang w:val="it-IT" w:eastAsia="it-IT"/>
      </w:rPr>
    </w:pPr>
    <w:r>
      <w:rPr>
        <w:rFonts w:eastAsia="Times"/>
        <w:color w:val="000000"/>
        <w:sz w:val="24"/>
        <w:szCs w:val="24"/>
        <w:lang w:val="it-IT" w:eastAsia="it-IT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144"/>
      <w:jc w:val="left"/>
      <w:textAlignment w:val="auto"/>
    </w:pPr>
    <w:rPr>
      <w:rFonts w:ascii="Times" w:hAnsi="Times" w:eastAsia="Times" w:cs="Liberation Serif"/>
      <w:color w:val="000000"/>
      <w:kern w:val="2"/>
      <w:sz w:val="24"/>
      <w:szCs w:val="24"/>
      <w:lang w:val="it-IT" w:eastAsia="hi-IN" w:bidi="hi-IN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jc w:val="center"/>
    </w:pPr>
    <w:rPr>
      <w:b/>
      <w:sz w:val="36"/>
      <w:lang w:eastAsia="it-IT"/>
    </w:rPr>
  </w:style>
  <w:style w:type="paragraph" w:styleId="Corpodeltesto">
    <w:name w:val="Body Text"/>
    <w:basedOn w:val="Normal"/>
    <w:pPr>
      <w:spacing w:lineRule="auto" w:line="276" w:before="0" w:after="140"/>
    </w:pPr>
    <w:rPr>
      <w:lang w:eastAsia="it-IT"/>
    </w:rPr>
  </w:style>
  <w:style w:type="paragraph" w:styleId="Elenco">
    <w:name w:val="List"/>
    <w:basedOn w:val="Corpodeltesto"/>
    <w:pPr>
      <w:spacing w:lineRule="auto" w:line="276" w:before="0" w:after="140"/>
    </w:pPr>
    <w:rPr>
      <w:rFonts w:eastAsia="Arial"/>
      <w:lang w:eastAsia="it-IT"/>
    </w:rPr>
  </w:style>
  <w:style w:type="paragraph" w:styleId="Didascalia">
    <w:name w:val="Caption"/>
    <w:basedOn w:val="Normal"/>
    <w:qFormat/>
    <w:pPr>
      <w:spacing w:before="120" w:after="120"/>
    </w:pPr>
    <w:rPr>
      <w:rFonts w:eastAsia="Arial"/>
      <w:i/>
      <w:iCs/>
      <w:lang w:eastAsia="it-IT"/>
    </w:rPr>
  </w:style>
  <w:style w:type="paragraph" w:styleId="Indice">
    <w:name w:val="Indice"/>
    <w:basedOn w:val="Normal"/>
    <w:qFormat/>
    <w:pPr/>
    <w:rPr>
      <w:rFonts w:eastAsia="Arial"/>
      <w:lang w:eastAsia="it-IT"/>
    </w:rPr>
  </w:style>
  <w:style w:type="paragraph" w:styleId="Bullet">
    <w:name w:val="Bullet"/>
    <w:basedOn w:val="Normal"/>
    <w:qFormat/>
    <w:pPr>
      <w:tabs>
        <w:tab w:val="clear" w:pos="720"/>
        <w:tab w:val="left" w:pos="360" w:leader="none"/>
      </w:tabs>
      <w:ind w:left="360" w:hanging="360"/>
    </w:pPr>
    <w:rPr>
      <w:lang w:eastAsia="it-IT"/>
    </w:rPr>
  </w:style>
  <w:style w:type="paragraph" w:styleId="BulletPara">
    <w:name w:val="BulletPara"/>
    <w:basedOn w:val="Normal"/>
    <w:qFormat/>
    <w:pPr>
      <w:tabs>
        <w:tab w:val="clear" w:pos="720"/>
        <w:tab w:val="left" w:pos="360" w:leader="none"/>
      </w:tabs>
      <w:ind w:left="360" w:hanging="0"/>
    </w:pPr>
    <w:rPr>
      <w:lang w:eastAsia="it-IT"/>
    </w:rPr>
  </w:style>
  <w:style w:type="paragraph" w:styleId="Cell">
    <w:name w:val="Cell"/>
    <w:basedOn w:val="Normal"/>
    <w:qFormat/>
    <w:pPr>
      <w:spacing w:before="0" w:after="0"/>
    </w:pPr>
    <w:rPr>
      <w:lang w:eastAsia="it-IT"/>
    </w:rPr>
  </w:style>
  <w:style w:type="paragraph" w:styleId="Footnote">
    <w:name w:val="Footnote"/>
    <w:basedOn w:val="Normal"/>
    <w:qFormat/>
    <w:pPr/>
    <w:rPr>
      <w:lang w:eastAsia="it-IT"/>
    </w:rPr>
  </w:style>
  <w:style w:type="paragraph" w:styleId="HdrFtr">
    <w:name w:val="HdrFtr"/>
    <w:basedOn w:val="Normal"/>
    <w:qFormat/>
    <w:pPr>
      <w:tabs>
        <w:tab w:val="clear" w:pos="720"/>
        <w:tab w:val="center" w:pos="5040" w:leader="none"/>
        <w:tab w:val="right" w:pos="10080" w:leader="none"/>
        <w:tab w:val="right" w:pos="13680" w:leader="none"/>
      </w:tabs>
    </w:pPr>
    <w:rPr>
      <w:lang w:eastAsia="it-IT"/>
    </w:rPr>
  </w:style>
  <w:style w:type="paragraph" w:styleId="AxNormal">
    <w:name w:val="axNormal"/>
    <w:basedOn w:val="Normal"/>
    <w:qFormat/>
    <w:pPr>
      <w:tabs>
        <w:tab w:val="left" w:pos="720" w:leader="none"/>
        <w:tab w:val="left" w:pos="1440" w:leader="none"/>
        <w:tab w:val="left" w:pos="2160" w:leader="none"/>
      </w:tabs>
      <w:spacing w:before="0" w:after="0"/>
    </w:pPr>
    <w:rPr>
      <w:lang w:eastAsia="it-IT"/>
    </w:rPr>
  </w:style>
  <w:style w:type="paragraph" w:styleId="Htmlhyperlinktext">
    <w:name w:val="html_hyperlink_text"/>
    <w:basedOn w:val="Normal"/>
    <w:qFormat/>
    <w:pPr/>
    <w:rPr>
      <w:color w:val="0000FF"/>
      <w:u w:val="single"/>
      <w:lang w:eastAsia="it-IT"/>
    </w:rPr>
  </w:style>
  <w:style w:type="paragraph" w:styleId="NumList">
    <w:name w:val="NumList"/>
    <w:qFormat/>
    <w:pPr>
      <w:widowControl w:val="false"/>
      <w:tabs>
        <w:tab w:val="clear" w:pos="720"/>
        <w:tab w:val="decimal" w:pos="269" w:leader="none"/>
      </w:tabs>
      <w:suppressAutoHyphens w:val="true"/>
      <w:bidi w:val="0"/>
      <w:spacing w:before="0" w:after="144"/>
      <w:ind w:left="468" w:hanging="468"/>
      <w:jc w:val="left"/>
      <w:textAlignment w:val="auto"/>
    </w:pPr>
    <w:rPr>
      <w:rFonts w:ascii="Times" w:hAnsi="Times" w:eastAsia="Times" w:cs="Liberation Serif"/>
      <w:color w:val="000000"/>
      <w:kern w:val="2"/>
      <w:sz w:val="24"/>
      <w:szCs w:val="24"/>
      <w:lang w:val="it-IT" w:eastAsia="hi-IN" w:bidi="hi-IN"/>
    </w:rPr>
  </w:style>
  <w:style w:type="paragraph" w:styleId="NumListPara">
    <w:name w:val="NumListPara"/>
    <w:basedOn w:val="NumList"/>
    <w:qFormat/>
    <w:pPr>
      <w:tabs>
        <w:tab w:val="clear" w:pos="269"/>
        <w:tab w:val="left" w:pos="360" w:leader="none"/>
      </w:tabs>
      <w:spacing w:before="0" w:after="0"/>
      <w:ind w:left="468" w:hanging="468"/>
    </w:pPr>
    <w:rPr>
      <w:rFonts w:ascii="Times Roman" w:hAnsi="Times Roman"/>
      <w:lang w:eastAsia="it-IT"/>
    </w:rPr>
  </w:style>
  <w:style w:type="paragraph" w:styleId="NumListStart">
    <w:name w:val="NumListStart"/>
    <w:basedOn w:val="NumList"/>
    <w:qFormat/>
    <w:pPr>
      <w:tabs>
        <w:tab w:val="decimal" w:pos="269" w:leader="none"/>
      </w:tabs>
      <w:spacing w:before="0" w:after="0"/>
      <w:ind w:left="468" w:hanging="468"/>
    </w:pPr>
    <w:rPr>
      <w:rFonts w:ascii="Times Roman" w:hAnsi="Times Roman"/>
      <w:lang w:eastAsia="it-IT"/>
    </w:rPr>
  </w:style>
  <w:style w:type="paragraph" w:styleId="Paragraph">
    <w:name w:val="Paragraph"/>
    <w:basedOn w:val="Normal"/>
    <w:qFormat/>
    <w:pPr/>
    <w:rPr>
      <w:lang w:eastAsia="it-IT"/>
    </w:rPr>
  </w:style>
  <w:style w:type="paragraph" w:styleId="Subheading">
    <w:name w:val="Sub-heading"/>
    <w:basedOn w:val="Titolo"/>
    <w:qFormat/>
    <w:pPr>
      <w:jc w:val="center"/>
    </w:pPr>
    <w:rPr>
      <w:b/>
      <w:sz w:val="28"/>
      <w:lang w:eastAsia="it-IT"/>
    </w:rPr>
  </w:style>
  <w:style w:type="paragraph" w:styleId="Intestazioneepidipagina">
    <w:name w:val="Intestazione e piè di pagina"/>
    <w:basedOn w:val="Normal"/>
    <w:qFormat/>
    <w:pPr/>
    <w:rPr>
      <w:lang w:eastAsia="it-IT"/>
    </w:rPr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it-IT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563</Words>
  <Characters>3377</Characters>
  <CharactersWithSpaces>3907</CharactersWithSpaces>
  <Paragraphs>43</Paragraphs>
  <Company>Provincia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2007-01-09T15:30:00Z</dcterms:created>
  <dc:creator>laurenti</dc:creator>
  <dc:description>Created by ApplixWare Release 4.42 (build 1021.544.260) #17  RTF Export Filter</dc:description>
  <dc:language>it-IT</dc:language>
  <cp:lastModifiedBy/>
  <dcterms:modified xsi:type="dcterms:W3CDTF">2020-02-26T12:01:28Z</dcterms:modified>
  <cp:revision>2</cp:revision>
  <dc:subject/>
  <dc:title>ax00323y.aw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Provincia di Torino</vt:lpwstr>
  </property>
  <property fmtid="{D5CDD505-2E9C-101B-9397-08002B2CF9AE}" pid="3" name="Operator">
    <vt:lpwstr>laurenti</vt:lpwstr>
  </property>
</Properties>
</file>