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 xml:space="preserve"> </w:t>
      </w:r>
      <w:r>
        <w:rPr>
          <w:rFonts w:cs="Palatino Linotype" w:ascii="Palatino Linotype" w:hAnsi="Palatino Linotype"/>
          <w:b/>
          <w:sz w:val="24"/>
          <w:szCs w:val="24"/>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 xml:space="preserve">Si informa che sono aperti i termini per la presentazione delle candidature, finalizzate alla nomina e/o designazione di rappresentanti della Città Metropolitana di Torino negli Enti sottoelencati, che la Sindaca  dovrà prossimamente effettuare, entro la data indicata, ai sensi dell’art 50, comma 8, del T.U. delle Leggi sull’Ordinamento degli EE.LL., dell’art. 26 dello Statuto della Città Metropolitana di Torino e nel rispetto degli Indirizzi deliberati dal C.P. del 13/10/2009 n. 38675/2009.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szCs w:val="20"/>
          <w:u w:val="single"/>
        </w:rPr>
      </w:pPr>
      <w:r>
        <w:rPr>
          <w:rFonts w:cs="Palatino Linotype" w:ascii="Palatino Linotype" w:hAnsi="Palatino Linotype"/>
          <w:b/>
          <w:sz w:val="20"/>
          <w:szCs w:val="20"/>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cs="Palatino Linotype"/>
          <w:b/>
          <w:b/>
          <w:u w:val="single"/>
        </w:rPr>
      </w:pPr>
      <w:r>
        <w:rPr>
          <w:rFonts w:cs="Palatino Linotype"/>
          <w:b/>
          <w:u w:val="single"/>
        </w:rPr>
      </w:r>
    </w:p>
    <w:p>
      <w:pPr>
        <w:pStyle w:val="Normal"/>
        <w:jc w:val="both"/>
        <w:rPr>
          <w:rFonts w:ascii="Palatino Linotype" w:hAnsi="Palatino Linotype"/>
          <w:sz w:val="20"/>
          <w:szCs w:val="20"/>
        </w:rPr>
      </w:pPr>
      <w:r>
        <w:rPr>
          <w:rFonts w:cs="Palatino Linotype" w:ascii="Palatino Linotype" w:hAnsi="Palatino Linotype"/>
          <w:b/>
          <w:bCs/>
          <w:sz w:val="20"/>
          <w:szCs w:val="20"/>
          <w:u w:val="none"/>
        </w:rPr>
        <w:t>-ASSOCIAZIONE “CENTRO RICERCHE ARCHEOLOGICHE E SCAVI” – TORINO</w:t>
      </w:r>
    </w:p>
    <w:p>
      <w:pPr>
        <w:pStyle w:val="Normal"/>
        <w:jc w:val="both"/>
        <w:rPr>
          <w:rFonts w:ascii="Palatino Linotype" w:hAnsi="Palatino Linotype"/>
          <w:sz w:val="20"/>
          <w:szCs w:val="20"/>
        </w:rPr>
      </w:pPr>
      <w:r>
        <w:rPr>
          <w:rFonts w:cs="Palatino Linotype" w:ascii="Palatino Linotype" w:hAnsi="Palatino Linotype"/>
          <w:b w:val="false"/>
          <w:bCs w:val="false"/>
          <w:sz w:val="20"/>
          <w:szCs w:val="20"/>
          <w:u w:val="none"/>
        </w:rPr>
        <w:t>n. 1 componente nel Consiglio di Amministrazione.</w:t>
      </w:r>
    </w:p>
    <w:p>
      <w:pPr>
        <w:pStyle w:val="Normal"/>
        <w:jc w:val="both"/>
        <w:rPr>
          <w:rFonts w:ascii="Palatino Linotype" w:hAnsi="Palatino Linotype" w:cs="Palatino Linotype"/>
          <w:b w:val="false"/>
          <w:b w:val="false"/>
          <w:bCs w:val="false"/>
          <w:sz w:val="20"/>
          <w:szCs w:val="20"/>
          <w:u w:val="none"/>
        </w:rPr>
      </w:pPr>
      <w:r>
        <w:rPr>
          <w:rFonts w:cs="Palatino Linotype" w:ascii="Palatino Linotype" w:hAnsi="Palatino Linotype"/>
          <w:b w:val="false"/>
          <w:bCs w:val="false"/>
          <w:sz w:val="20"/>
          <w:szCs w:val="20"/>
          <w:u w:val="none"/>
        </w:rPr>
      </w:r>
    </w:p>
    <w:p>
      <w:pPr>
        <w:pStyle w:val="Normal"/>
        <w:jc w:val="both"/>
        <w:rPr>
          <w:rFonts w:ascii="Palatino Linotype" w:hAnsi="Palatino Linotype"/>
          <w:sz w:val="20"/>
          <w:szCs w:val="20"/>
        </w:rPr>
      </w:pPr>
      <w:r>
        <w:rPr>
          <w:rFonts w:cs="Palatino Linotype" w:ascii="Palatino Linotype" w:hAnsi="Palatino Linotype"/>
          <w:b/>
          <w:bCs/>
          <w:sz w:val="20"/>
          <w:szCs w:val="20"/>
          <w:u w:val="none"/>
        </w:rPr>
        <w:t>-ASSOCIAZIONE “MUSEO DIFFUSO DELLA RESISTENZA” - TORINO</w:t>
      </w:r>
    </w:p>
    <w:p>
      <w:pPr>
        <w:pStyle w:val="Normal"/>
        <w:jc w:val="both"/>
        <w:rPr/>
      </w:pPr>
      <w:r>
        <w:rPr>
          <w:rFonts w:cs="Palatino Linotype" w:ascii="Palatino Linotype" w:hAnsi="Palatino Linotype"/>
          <w:b w:val="false"/>
          <w:bCs w:val="false"/>
          <w:sz w:val="20"/>
          <w:szCs w:val="20"/>
          <w:u w:val="none"/>
        </w:rPr>
        <w:t>n. 1 componente nel Consiglio Direttivo.</w:t>
      </w:r>
    </w:p>
    <w:p>
      <w:pPr>
        <w:pStyle w:val="Normal"/>
        <w:jc w:val="both"/>
        <w:rPr>
          <w:rFonts w:ascii="Palatino Linotype" w:hAnsi="Palatino Linotype" w:cs="Palatino Linotype"/>
          <w:b w:val="false"/>
          <w:b w:val="false"/>
          <w:bCs w:val="false"/>
          <w:sz w:val="20"/>
          <w:szCs w:val="20"/>
          <w:u w:val="none"/>
        </w:rPr>
      </w:pPr>
      <w:r>
        <w:rPr>
          <w:rFonts w:cs="Palatino Linotype" w:ascii="Palatino Linotype" w:hAnsi="Palatino Linotype"/>
          <w:b w:val="false"/>
          <w:bCs w:val="false"/>
          <w:sz w:val="20"/>
          <w:szCs w:val="20"/>
          <w:u w:val="none"/>
        </w:rPr>
      </w:r>
    </w:p>
    <w:p>
      <w:pPr>
        <w:pStyle w:val="Normal"/>
        <w:jc w:val="both"/>
        <w:rPr>
          <w:u w:val="none"/>
        </w:rPr>
      </w:pPr>
      <w:r>
        <w:rPr>
          <w:rFonts w:cs="Palatino Linotype" w:ascii="Palatino Linotype" w:hAnsi="Palatino Linotype"/>
          <w:b/>
          <w:bCs/>
          <w:sz w:val="20"/>
          <w:szCs w:val="20"/>
          <w:u w:val="none"/>
        </w:rPr>
        <w:t>- FONDAZIONE “LUIGI FIRPO” - ONLUS - TORINO</w:t>
      </w:r>
    </w:p>
    <w:p>
      <w:pPr>
        <w:pStyle w:val="Normal"/>
        <w:jc w:val="both"/>
        <w:rPr>
          <w:rFonts w:ascii="Palatino Linotype" w:hAnsi="Palatino Linotype"/>
          <w:sz w:val="20"/>
          <w:szCs w:val="20"/>
        </w:rPr>
      </w:pPr>
      <w:r>
        <w:rPr>
          <w:rFonts w:cs="Palatino Linotype" w:ascii="Palatino Linotype" w:hAnsi="Palatino Linotype"/>
          <w:b w:val="false"/>
          <w:bCs w:val="false"/>
          <w:sz w:val="20"/>
          <w:szCs w:val="20"/>
          <w:u w:val="none"/>
        </w:rPr>
        <w:t xml:space="preserve">n. 1 componente nel Collegio dei Revisori dei Conti. </w:t>
      </w:r>
    </w:p>
    <w:p>
      <w:pPr>
        <w:pStyle w:val="Normal"/>
        <w:jc w:val="both"/>
        <w:rPr>
          <w:rFonts w:cs="Palatino Linotype"/>
          <w:b w:val="false"/>
          <w:b w:val="false"/>
          <w:bCs w:val="false"/>
          <w:u w:val="none"/>
        </w:rPr>
      </w:pPr>
      <w:r>
        <w:rPr>
          <w:rFonts w:cs="Palatino Linotype"/>
          <w:b w:val="false"/>
          <w:bCs w:val="false"/>
          <w:u w:val="none"/>
        </w:rPr>
      </w:r>
    </w:p>
    <w:p>
      <w:pPr>
        <w:pStyle w:val="Normal"/>
        <w:jc w:val="both"/>
        <w:rPr>
          <w:rFonts w:ascii="Palatino Linotype" w:hAnsi="Palatino Linotype"/>
          <w:sz w:val="20"/>
          <w:szCs w:val="20"/>
        </w:rPr>
      </w:pPr>
      <w:r>
        <w:rPr>
          <w:rFonts w:cs="Palatino Linotype" w:ascii="Palatino Linotype" w:hAnsi="Palatino Linotype"/>
          <w:b/>
          <w:bCs/>
          <w:sz w:val="20"/>
          <w:szCs w:val="20"/>
          <w:u w:val="none"/>
        </w:rPr>
        <w:t>-SOCIETA’ R.S.A. S.R.L. - BALANGERO</w:t>
      </w:r>
    </w:p>
    <w:p>
      <w:pPr>
        <w:pStyle w:val="Normal1"/>
        <w:shd w:val="clear" w:fill="FFFFFF"/>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sz w:val="20"/>
          <w:szCs w:val="20"/>
        </w:rPr>
        <w:t>n. 1 componente nel Consiglio di Amministrazione;</w:t>
      </w:r>
    </w:p>
    <w:p>
      <w:pPr>
        <w:pStyle w:val="Normal1"/>
        <w:shd w:val="clear" w:fill="FFFFFF"/>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 w:val="false"/>
          <w:b w:val="false"/>
          <w:bCs w:val="false"/>
          <w:i w:val="false"/>
          <w:i w:val="false"/>
          <w:iCs w:val="false"/>
          <w:color w:val="000000"/>
          <w:sz w:val="20"/>
          <w:szCs w:val="20"/>
          <w:u w:val="single"/>
        </w:rPr>
      </w:pPr>
      <w:r>
        <w:rPr>
          <w:rFonts w:cs="Palatino Linotype" w:ascii="Palatino Linotype" w:hAnsi="Palatino Linotype"/>
          <w:b w:val="false"/>
          <w:bCs w:val="false"/>
          <w:i w:val="false"/>
          <w:iCs w:val="false"/>
          <w:color w:val="000000"/>
          <w:sz w:val="20"/>
          <w:szCs w:val="20"/>
          <w:u w:val="none"/>
        </w:rPr>
        <w:t>n. 1 componente effettivo o supplente nel Collegio Sindacale.</w:t>
      </w:r>
    </w:p>
    <w:p>
      <w:pPr>
        <w:pStyle w:val="Normal1"/>
        <w:shd w:val="clear" w:fill="FFFFFF"/>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u w:val="none"/>
        </w:rPr>
      </w:pPr>
      <w:r>
        <w:rPr>
          <w:u w:val="none"/>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b/>
          <w:b/>
          <w:bCs/>
          <w:sz w:val="20"/>
          <w:szCs w:val="20"/>
        </w:rPr>
      </w:pPr>
      <w:r>
        <w:rPr>
          <w:rFonts w:cs="Palatino Linotype" w:ascii="Palatino Linotype" w:hAnsi="Palatino Linotype"/>
          <w:b/>
          <w:bCs/>
          <w:sz w:val="20"/>
          <w:szCs w:val="20"/>
        </w:rPr>
        <w:t xml:space="preserve">Le candidature  potranno essere presentate entro il 29 Marzo 2019.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cs="Palatino Linotype"/>
          <w:u w:val="none"/>
        </w:rPr>
      </w:pPr>
      <w:r>
        <w:rPr>
          <w:rFonts w:cs="Palatino Linotype"/>
          <w:u w:val="none"/>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bCs/>
          <w:sz w:val="20"/>
          <w:szCs w:val="20"/>
        </w:rPr>
        <w:t>I</w:t>
      </w:r>
      <w:r>
        <w:rPr>
          <w:rFonts w:cs="Palatino Linotype" w:ascii="Palatino Linotype" w:hAnsi="Palatino Linotype"/>
          <w:sz w:val="20"/>
          <w:szCs w:val="20"/>
        </w:rPr>
        <w:t xml:space="preserve"> requisiti soggettivi, le cause di incompatibilità e le norme procedurali per l’effettuazione delle nomine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Copia dei </w:t>
      </w:r>
      <w:r>
        <w:rPr>
          <w:rFonts w:cs="Palatino Linotype" w:ascii="Palatino Linotype" w:hAnsi="Palatino Linotype"/>
          <w:color w:val="0000FF"/>
          <w:sz w:val="20"/>
          <w:szCs w:val="20"/>
          <w:u w:val="single"/>
        </w:rPr>
        <w:t>modelli di domanda</w:t>
      </w:r>
      <w:r>
        <w:rPr>
          <w:rFonts w:cs="Palatino Linotype" w:ascii="Palatino Linotype" w:hAnsi="Palatino Linotype"/>
          <w:sz w:val="20"/>
          <w:szCs w:val="20"/>
        </w:rPr>
        <w:t xml:space="preserve">, le </w:t>
      </w:r>
      <w:r>
        <w:rPr>
          <w:rFonts w:cs="Palatino Linotype" w:ascii="Palatino Linotype" w:hAnsi="Palatino Linotype"/>
          <w:color w:val="0000FF"/>
          <w:sz w:val="20"/>
          <w:szCs w:val="20"/>
          <w:u w:val="single"/>
        </w:rPr>
        <w:t>schede informative degli Enti</w:t>
      </w:r>
      <w:r>
        <w:rPr>
          <w:rFonts w:cs="Palatino Linotype" w:ascii="Palatino Linotype" w:hAnsi="Palatino Linotype"/>
          <w:sz w:val="20"/>
          <w:szCs w:val="20"/>
        </w:rPr>
        <w:t xml:space="preserve">, la </w:t>
      </w:r>
      <w:r>
        <w:rPr>
          <w:rFonts w:cs="Palatino Linotype" w:ascii="Palatino Linotype" w:hAnsi="Palatino Linotype"/>
          <w:color w:val="0000FF"/>
          <w:sz w:val="20"/>
          <w:szCs w:val="20"/>
          <w:u w:val="single"/>
        </w:rPr>
        <w:t>dichiarazione sulla insussistenza di cause di inconferibilità</w:t>
      </w:r>
      <w:r>
        <w:rPr>
          <w:rFonts w:cs="Palatino Linotype" w:ascii="Palatino Linotype" w:hAnsi="Palatino Linotype"/>
          <w:sz w:val="20"/>
          <w:szCs w:val="20"/>
        </w:rPr>
        <w:t xml:space="preserve"> ai sensi dell’art. 20 comma 1 del </w:t>
      </w:r>
      <w:hyperlink r:id="rId2">
        <w:r>
          <w:rPr>
            <w:rStyle w:val="CollegamentoInternet"/>
            <w:rFonts w:cs="Palatino Linotype" w:ascii="Palatino Linotype" w:hAnsi="Palatino Linotype"/>
            <w:sz w:val="20"/>
            <w:szCs w:val="20"/>
          </w:rPr>
          <w:t>D.lgs. 39/2013</w:t>
        </w:r>
      </w:hyperlink>
      <w:r>
        <w:rPr>
          <w:rFonts w:cs="Palatino Linotype" w:ascii="Palatino Linotype" w:hAnsi="Palatino Linotype"/>
          <w:sz w:val="20"/>
          <w:szCs w:val="20"/>
        </w:rPr>
        <w:t xml:space="preserve">, </w:t>
      </w:r>
      <w:r>
        <w:rPr>
          <w:rFonts w:cs="Palatino Linotype" w:ascii="Palatino Linotype" w:hAnsi="Palatino Linotype"/>
          <w:sz w:val="20"/>
          <w:szCs w:val="20"/>
          <w:u w:val="single"/>
        </w:rPr>
        <w:t xml:space="preserve">l’informativa ai sensi dell’art 13 del GDPR 2016/679 </w:t>
      </w:r>
      <w:r>
        <w:rPr>
          <w:rFonts w:cs="Palatino Linotype" w:ascii="Palatino Linotype" w:hAnsi="Palatino Linotype"/>
          <w:sz w:val="20"/>
          <w:szCs w:val="20"/>
        </w:rPr>
        <w:t xml:space="preserve">in materia di Privacy  e la sopracitata deliberazione consiliare di Indirizzi,  sono a disposizione, per la consultazione, presso </w:t>
      </w:r>
      <w:r>
        <w:rPr>
          <w:rFonts w:cs="Palatino Linotype" w:ascii="Palatino Linotype" w:hAnsi="Palatino Linotype"/>
          <w:b/>
          <w:sz w:val="20"/>
          <w:szCs w:val="20"/>
          <w:u w:val="single"/>
        </w:rPr>
        <w:t>l’Ufficio Nomine  della Città Metropolitana di Torino</w:t>
      </w:r>
      <w:r>
        <w:rPr>
          <w:rFonts w:cs="Palatino Linotype" w:ascii="Palatino Linotype" w:hAnsi="Palatino Linotype"/>
          <w:b/>
          <w:sz w:val="20"/>
          <w:szCs w:val="20"/>
        </w:rPr>
        <w:t xml:space="preserve"> </w:t>
      </w:r>
      <w:r>
        <w:rPr>
          <w:rFonts w:cs="Palatino Linotype" w:ascii="Palatino Linotype" w:hAnsi="Palatino Linotype"/>
          <w:sz w:val="20"/>
          <w:szCs w:val="20"/>
        </w:rPr>
        <w:t>– C.so Inghilterra n. 7 – Piano 6° - Stanza 7 - 10138 – TORINO -   (tel. 011-861/6296 - 6271  - Fax: 011 - 861/4427;  orario: dal luned</w:t>
      </w:r>
      <w:r>
        <w:rPr>
          <w:rFonts w:cs="Normal Text" w:ascii="Palatino Linotype" w:hAnsi="Palatino Linotype"/>
          <w:sz w:val="20"/>
          <w:szCs w:val="20"/>
        </w:rPr>
        <w:t>ì</w:t>
      </w:r>
      <w:r>
        <w:rPr>
          <w:rFonts w:cs="Palatino Linotype" w:ascii="Palatino Linotype" w:hAnsi="Palatino Linotype"/>
          <w:sz w:val="20"/>
          <w:szCs w:val="20"/>
        </w:rPr>
        <w:t xml:space="preserve"> al gioved</w:t>
      </w:r>
      <w:r>
        <w:rPr>
          <w:rFonts w:cs="Normal Text" w:ascii="Palatino Linotype" w:hAnsi="Palatino Linotype"/>
          <w:sz w:val="20"/>
          <w:szCs w:val="20"/>
        </w:rPr>
        <w:t>ì</w:t>
      </w:r>
      <w:r>
        <w:rPr>
          <w:rFonts w:cs="Palatino Linotype" w:ascii="Palatino Linotype" w:hAnsi="Palatino Linotype"/>
          <w:sz w:val="20"/>
          <w:szCs w:val="20"/>
        </w:rPr>
        <w:t xml:space="preserve">  ore 9,30 -12,00/14,00 -16,00 e il venerd</w:t>
      </w:r>
      <w:r>
        <w:rPr>
          <w:rFonts w:cs="Normal Text" w:ascii="Palatino Linotype" w:hAnsi="Palatino Linotype"/>
          <w:sz w:val="20"/>
          <w:szCs w:val="20"/>
        </w:rPr>
        <w:t>ì</w:t>
      </w:r>
      <w:r>
        <w:rPr>
          <w:rFonts w:cs="Palatino Linotype" w:ascii="Palatino Linotype" w:hAnsi="Palatino Linotype"/>
          <w:sz w:val="20"/>
          <w:szCs w:val="20"/>
        </w:rPr>
        <w:t xml:space="preserve"> dalle ore 9,30 - 12,00</w:t>
      </w:r>
      <w:r>
        <w:rPr>
          <w:rFonts w:cs="Palatino Linotype" w:ascii="Palatino Linotype" w:hAnsi="Palatino Linotype"/>
          <w:b/>
          <w:bCs/>
          <w:sz w:val="20"/>
          <w:szCs w:val="20"/>
        </w:rPr>
        <w:t xml:space="preserve"> </w:t>
      </w:r>
      <w:r>
        <w:rPr>
          <w:rFonts w:cs="Palatino Linotype" w:ascii="Palatino Linotype" w:hAnsi="Palatino Linotype"/>
          <w:sz w:val="20"/>
          <w:szCs w:val="20"/>
        </w:rPr>
        <w:t>e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3">
        <w:bookmarkStart w:id="0" w:name="OLE_LINK11"/>
        <w:bookmarkEnd w:id="0"/>
        <w:r>
          <w:rPr>
            <w:rStyle w:val="CollegamentoInternet"/>
            <w:rFonts w:cs="Palatino Linotype" w:ascii="Palatino Linotype" w:hAnsi="Palatino Linotype"/>
            <w:b w:val="false"/>
            <w:bCs w:val="false"/>
            <w:sz w:val="20"/>
            <w:szCs w:val="20"/>
            <w:u w:val="single"/>
          </w:rPr>
          <w:t>http://www.cittametropolitana.torino.it/istituzionale/nomine/index.shtml</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cs="Palatino Linotype"/>
          <w:b w:val="false"/>
          <w:b w:val="false"/>
          <w:bCs w:val="false"/>
          <w:u w:val="single"/>
        </w:rPr>
      </w:pPr>
      <w:r>
        <w:rPr>
          <w:rFonts w:cs="Palatino Linotype"/>
          <w:b w:val="false"/>
          <w:bCs w:val="false"/>
          <w:u w:val="single"/>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In particolare si ricorda che, ai sensi del punto 5 della predetta deliberazione</w:t>
      </w:r>
      <w:r>
        <w:rPr>
          <w:rFonts w:cs="Palatino Linotype" w:ascii="Palatino Linotype" w:hAnsi="Palatino Linotype"/>
          <w:sz w:val="20"/>
          <w:szCs w:val="20"/>
          <w:u w:val="single"/>
        </w:rPr>
        <w:t xml:space="preserve"> i</w:t>
      </w:r>
      <w:r>
        <w:rPr>
          <w:rFonts w:cs="Palatino Linotype" w:ascii="Palatino Linotype" w:hAnsi="Palatino Linotype"/>
          <w:b w:val="false"/>
          <w:bCs w:val="false"/>
          <w:sz w:val="20"/>
          <w:szCs w:val="20"/>
          <w:u w:val="single"/>
        </w:rPr>
        <w:t xml:space="preserve"> soggetti interessati non potranno presentare più di due candidature.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sz w:val="20"/>
          <w:szCs w:val="20"/>
        </w:rPr>
        <w:t xml:space="preserve">Le candidature, </w:t>
      </w:r>
      <w:r>
        <w:rPr>
          <w:rFonts w:cs="Palatino Linotype" w:ascii="Palatino Linotype" w:hAnsi="Palatino Linotype"/>
          <w:b/>
          <w:bCs/>
          <w:sz w:val="20"/>
          <w:szCs w:val="20"/>
          <w:u w:val="single"/>
        </w:rPr>
        <w:t>corredate da fotocopia di un documento di identità in corso di validità</w:t>
      </w:r>
      <w:r>
        <w:rPr>
          <w:rFonts w:cs="Palatino Linotype" w:ascii="Palatino Linotype" w:hAnsi="Palatino Linotype"/>
          <w:b/>
          <w:bCs/>
          <w:sz w:val="20"/>
          <w:szCs w:val="20"/>
          <w:u w:val="none"/>
        </w:rPr>
        <w:t xml:space="preserve">  e/o da Curriculum Vitae allegato</w:t>
      </w:r>
      <w:r>
        <w:rPr>
          <w:rFonts w:cs="Palatino Linotype" w:ascii="Palatino Linotype" w:hAnsi="Palatino Linotype"/>
          <w:sz w:val="20"/>
          <w:szCs w:val="20"/>
        </w:rPr>
        <w:t>, potranno essere presentate direttamente all’Ufficio Nomine della Città Metropolitana di Torino ( orari e indirizzo sopra specificati ), a mezzo fax, al numero 011 – 861/4427 e per posta ordinaria,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Le domande inoltrate per Posta Elettronica Certificata ( PEC) devono indicare nell’oggetto </w:t>
      </w:r>
      <w:r>
        <w:rPr>
          <w:rFonts w:cs="Palatino Linotype" w:ascii="Palatino Linotype" w:hAnsi="Palatino Linotype"/>
          <w:b/>
          <w:bCs/>
          <w:sz w:val="20"/>
          <w:szCs w:val="20"/>
        </w:rPr>
        <w:t>“Proposta di candidatura per …..“</w:t>
      </w:r>
      <w:r>
        <w:rPr>
          <w:rFonts w:cs="Palatino Linotype" w:ascii="Palatino Linotype" w:hAnsi="Palatino Linotype"/>
          <w:sz w:val="20"/>
          <w:szCs w:val="20"/>
        </w:rPr>
        <w:t xml:space="preserve"> e devono  essere inviate all’indirizzo: </w:t>
      </w:r>
      <w:hyperlink r:id="rId4">
        <w:r>
          <w:rPr>
            <w:rStyle w:val="CollegamentoInternet"/>
            <w:rFonts w:cs="Palatino Linotype" w:ascii="Palatino Linotype" w:hAnsi="Palatino Linotype"/>
            <w:sz w:val="20"/>
            <w:szCs w:val="20"/>
          </w:rPr>
          <w:t>protocollo@cert.cittametropolitana.torino.it</w:t>
        </w:r>
      </w:hyperlink>
      <w:r>
        <w:rPr>
          <w:rStyle w:val="CollegamentoInternet"/>
          <w:rFonts w:cs="Palatino Linotype" w:ascii="Palatino Linotype" w:hAnsi="Palatino Linotype"/>
          <w:sz w:val="20"/>
          <w:szCs w:val="20"/>
        </w:rPr>
        <w:t>,</w:t>
      </w:r>
      <w:r>
        <w:rPr>
          <w:rFonts w:cs="Palatino Linotype" w:ascii="Palatino Linotype" w:hAnsi="Palatino Linotype"/>
          <w:sz w:val="20"/>
          <w:szCs w:val="20"/>
        </w:rPr>
        <w:t xml:space="preserve"> </w:t>
      </w:r>
      <w:r>
        <w:rPr>
          <w:rFonts w:cs="Palatino Linotype" w:ascii="Palatino Linotype" w:hAnsi="Palatino Linotype"/>
          <w:b w:val="false"/>
          <w:bCs w:val="false"/>
          <w:sz w:val="20"/>
          <w:szCs w:val="20"/>
        </w:rPr>
        <w:t>attenendosi alle disposizioni indicate sul Sito Istituzionale,</w:t>
      </w:r>
      <w:r>
        <w:rPr>
          <w:rFonts w:cs="Palatino Linotype" w:ascii="Palatino Linotype" w:hAnsi="Palatino Linotype"/>
          <w:b/>
          <w:bCs/>
          <w:sz w:val="20"/>
          <w:szCs w:val="20"/>
        </w:rPr>
        <w:t xml:space="preserve"> nonché all’indirizzo e-mail: </w:t>
      </w:r>
      <w:hyperlink r:id="rId5">
        <w:r>
          <w:rPr>
            <w:rStyle w:val="CollegamentoInternet"/>
            <w:rFonts w:cs="Palatino Linotype" w:ascii="Palatino Linotype" w:hAnsi="Palatino Linotype"/>
            <w:b/>
            <w:bCs/>
            <w:sz w:val="20"/>
            <w:szCs w:val="20"/>
          </w:rPr>
          <w:t>donatella.ficozzi@cittametropolitana.torino.it</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rFonts w:cs="Palatino Linotype" w:ascii="Palatino Linotype" w:hAnsi="Palatino Linotype"/>
          <w:b/>
          <w:bCs/>
          <w:sz w:val="20"/>
          <w:szCs w:val="20"/>
          <w:u w:val="single"/>
        </w:rPr>
        <w:t>Non saranno prese in considerazione candidature che non vengano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i w:val="false"/>
          <w:iCs w:val="false"/>
          <w:sz w:val="20"/>
          <w:szCs w:val="20"/>
        </w:rPr>
        <w:t>Coloro che hanno presentato domande di candidatura potranno ottenere informazioni sui Decreti di nomina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ab/>
        <w:tab/>
        <w:tab/>
        <w:tab/>
        <w:tab/>
        <w:tab/>
        <w:tab/>
        <w:tab/>
        <w:tab/>
        <w:tab/>
        <w:t xml:space="preserve">  Il  Vicesegretario Generale </w:t>
        <w:tab/>
        <w:tab/>
        <w:tab/>
        <w:tab/>
        <w:t xml:space="preserve"> </w:t>
        <w:tab/>
        <w:tab/>
        <w:tab/>
        <w:tab/>
        <w:tab/>
        <w:tab/>
        <w:t xml:space="preserve">        </w:t>
      </w:r>
      <w:r>
        <w:rPr>
          <w:rFonts w:cs="Palatino Linotype" w:ascii="Palatino Linotype" w:hAnsi="Palatino Linotype"/>
          <w:b/>
          <w:bCs/>
          <w:sz w:val="20"/>
          <w:szCs w:val="20"/>
        </w:rPr>
        <w:t xml:space="preserve">       Dott. Giovanni Monterosso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Torino, </w:t>
      </w:r>
      <w:r>
        <w:rPr>
          <w:rFonts w:cs="Palatino Linotype" w:ascii="Palatino Linotype" w:hAnsi="Palatino Linotype"/>
          <w:sz w:val="20"/>
          <w:szCs w:val="20"/>
        </w:rPr>
        <w:t>18.3.2019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ab/>
        <w:tab/>
        <w:tab/>
        <w:tab/>
        <w:tab/>
        <w:tab/>
        <w:tab/>
        <w:tab/>
        <w:tab/>
        <w:t xml:space="preserve">            </w:t>
        <w:tab/>
        <w:tab/>
        <w:tab/>
        <w:tab/>
        <w:tab/>
      </w:r>
    </w:p>
    <w:sectPr>
      <w:footerReference w:type="default" r:id="rId6"/>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pPrDefault>
  </w:docDefaults>
  <w:style w:type="paragraph" w:styleId="Normal">
    <w:name w:val="Normal"/>
    <w:qFormat/>
    <w:pPr>
      <w:widowControl/>
      <w:suppressAutoHyphens w:val="true"/>
      <w:bidi w:val="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character" w:styleId="ListLabel5">
    <w:name w:val="ListLabel 5"/>
    <w:qFormat/>
    <w:rPr>
      <w:rFonts w:ascii="Palatino Linotype" w:hAnsi="Palatino Linotype" w:cs="Palatino Linotype"/>
      <w:sz w:val="20"/>
    </w:rPr>
  </w:style>
  <w:style w:type="character" w:styleId="ListLabel6">
    <w:name w:val="ListLabel 6"/>
    <w:qFormat/>
    <w:rPr>
      <w:rFonts w:ascii="Palatino Linotype" w:hAnsi="Palatino Linotype" w:cs="Palatino Linotype"/>
      <w:sz w:val="20"/>
      <w:szCs w:val="20"/>
    </w:rPr>
  </w:style>
  <w:style w:type="character" w:styleId="ListLabel7">
    <w:name w:val="ListLabel 7"/>
    <w:qFormat/>
    <w:rPr>
      <w:rFonts w:ascii="Palatino Linotype" w:hAnsi="Palatino Linotype" w:cs="Palatino Linotype"/>
      <w:sz w:val="20"/>
      <w:szCs w:val="20"/>
    </w:rPr>
  </w:style>
  <w:style w:type="character" w:styleId="ListLabel8">
    <w:name w:val="ListLabel 8"/>
    <w:qFormat/>
    <w:rPr>
      <w:rFonts w:ascii="Palatino Linotype" w:hAnsi="Palatino Linotype" w:cs="Palatino Linotype"/>
      <w:sz w:val="20"/>
      <w:szCs w:val="20"/>
    </w:rPr>
  </w:style>
  <w:style w:type="character" w:styleId="ListLabel9">
    <w:name w:val="ListLabel 9"/>
    <w:qFormat/>
    <w:rPr>
      <w:rFonts w:ascii="Palatino Linotype" w:hAnsi="Palatino Linotype" w:cs="Palatino Linotype"/>
      <w:sz w:val="20"/>
      <w:szCs w:val="20"/>
    </w:rPr>
  </w:style>
  <w:style w:type="character" w:styleId="ListLabel10">
    <w:name w:val="ListLabel 10"/>
    <w:qFormat/>
    <w:rPr>
      <w:rFonts w:ascii="Palatino Linotype" w:hAnsi="Palatino Linotype" w:cs="Palatino Linotype"/>
      <w:sz w:val="20"/>
      <w:szCs w:val="20"/>
    </w:rPr>
  </w:style>
  <w:style w:type="character" w:styleId="ListLabel11">
    <w:name w:val="ListLabel 11"/>
    <w:qFormat/>
    <w:rPr>
      <w:rFonts w:ascii="Palatino Linotype" w:hAnsi="Palatino Linotype" w:cs="Palatino Linotype"/>
      <w:b/>
      <w:bCs/>
      <w:sz w:val="20"/>
      <w:szCs w:val="20"/>
    </w:rPr>
  </w:style>
  <w:style w:type="character" w:styleId="ListLabel12">
    <w:name w:val="ListLabel 12"/>
    <w:qFormat/>
    <w:rPr>
      <w:rFonts w:ascii="Palatino Linotype" w:hAnsi="Palatino Linotype" w:cs="Palatino Linotype"/>
      <w:sz w:val="20"/>
      <w:szCs w:val="20"/>
    </w:rPr>
  </w:style>
  <w:style w:type="character" w:styleId="ListLabel13">
    <w:name w:val="ListLabel 13"/>
    <w:qFormat/>
    <w:rPr>
      <w:rFonts w:ascii="Palatino Linotype" w:hAnsi="Palatino Linotype" w:cs="Palatino Linotype"/>
      <w:b/>
      <w:bCs/>
      <w:sz w:val="20"/>
      <w:szCs w:val="20"/>
    </w:rPr>
  </w:style>
  <w:style w:type="character" w:styleId="ListLabel14">
    <w:name w:val="ListLabel 14"/>
    <w:qFormat/>
    <w:rPr>
      <w:rFonts w:ascii="Palatino Linotype" w:hAnsi="Palatino Linotype" w:cs="Palatino Linotype"/>
      <w:sz w:val="20"/>
      <w:szCs w:val="20"/>
    </w:rPr>
  </w:style>
  <w:style w:type="character" w:styleId="ListLabel15">
    <w:name w:val="ListLabel 15"/>
    <w:qFormat/>
    <w:rPr>
      <w:rFonts w:ascii="Palatino Linotype" w:hAnsi="Palatino Linotype" w:cs="Palatino Linotype"/>
      <w:b/>
      <w:bCs/>
      <w:sz w:val="20"/>
      <w:szCs w:val="20"/>
    </w:rPr>
  </w:style>
  <w:style w:type="character" w:styleId="ListLabel16">
    <w:name w:val="ListLabel 16"/>
    <w:qFormat/>
    <w:rPr>
      <w:rFonts w:ascii="Palatino Linotype" w:hAnsi="Palatino Linotype" w:cs="Palatino Linotype"/>
      <w:sz w:val="20"/>
      <w:szCs w:val="20"/>
    </w:rPr>
  </w:style>
  <w:style w:type="character" w:styleId="ListLabel17">
    <w:name w:val="ListLabel 17"/>
    <w:qFormat/>
    <w:rPr>
      <w:rFonts w:ascii="Palatino Linotype" w:hAnsi="Palatino Linotype" w:cs="Palatino Linotype"/>
      <w:b/>
      <w:bCs/>
      <w:sz w:val="20"/>
      <w:szCs w:val="20"/>
    </w:rPr>
  </w:style>
  <w:style w:type="character" w:styleId="ListLabel18">
    <w:name w:val="ListLabel 18"/>
    <w:qFormat/>
    <w:rPr>
      <w:rFonts w:ascii="Palatino Linotype" w:hAnsi="Palatino Linotype" w:cs="Palatino Linotype"/>
      <w:sz w:val="20"/>
      <w:szCs w:val="20"/>
    </w:rPr>
  </w:style>
  <w:style w:type="character" w:styleId="ListLabel19">
    <w:name w:val="ListLabel 19"/>
    <w:qFormat/>
    <w:rPr>
      <w:rFonts w:ascii="Palatino Linotype" w:hAnsi="Palatino Linotype" w:cs="Palatino Linotype"/>
      <w:b/>
      <w:bCs/>
      <w:sz w:val="20"/>
      <w:szCs w:val="20"/>
    </w:rPr>
  </w:style>
  <w:style w:type="character" w:styleId="ListLabel20">
    <w:name w:val="ListLabel 20"/>
    <w:qFormat/>
    <w:rPr>
      <w:rFonts w:ascii="Palatino Linotype" w:hAnsi="Palatino Linotype" w:cs="Palatino Linotype"/>
      <w:sz w:val="20"/>
      <w:szCs w:val="20"/>
    </w:rPr>
  </w:style>
  <w:style w:type="character" w:styleId="ListLabel21">
    <w:name w:val="ListLabel 21"/>
    <w:qFormat/>
    <w:rPr>
      <w:rFonts w:ascii="Palatino Linotype" w:hAnsi="Palatino Linotype" w:cs="Palatino Linotype"/>
      <w:b/>
      <w:bCs/>
      <w:sz w:val="20"/>
      <w:szCs w:val="20"/>
    </w:rPr>
  </w:style>
  <w:style w:type="character" w:styleId="ListLabel22">
    <w:name w:val="ListLabel 22"/>
    <w:qFormat/>
    <w:rPr>
      <w:rFonts w:ascii="Palatino Linotype" w:hAnsi="Palatino Linotype" w:cs="Palatino Linotype"/>
      <w:sz w:val="20"/>
      <w:szCs w:val="20"/>
    </w:rPr>
  </w:style>
  <w:style w:type="character" w:styleId="ListLabel23">
    <w:name w:val="ListLabel 23"/>
    <w:qFormat/>
    <w:rPr>
      <w:rFonts w:ascii="Palatino Linotype" w:hAnsi="Palatino Linotype" w:cs="Palatino Linotype"/>
      <w:b w:val="false"/>
      <w:bCs w:val="false"/>
      <w:sz w:val="20"/>
      <w:szCs w:val="20"/>
      <w:u w:val="single"/>
    </w:rPr>
  </w:style>
  <w:style w:type="character" w:styleId="ListLabel24">
    <w:name w:val="ListLabel 24"/>
    <w:qFormat/>
    <w:rPr>
      <w:rFonts w:ascii="Palatino Linotype" w:hAnsi="Palatino Linotype" w:cs="Palatino Linotype"/>
      <w:b/>
      <w:bCs/>
      <w:sz w:val="20"/>
      <w:szCs w:val="20"/>
    </w:rPr>
  </w:style>
  <w:style w:type="character" w:styleId="ListLabel25">
    <w:name w:val="ListLabel 25"/>
    <w:qFormat/>
    <w:rPr>
      <w:rFonts w:ascii="Palatino Linotype" w:hAnsi="Palatino Linotype" w:cs="Palatino Linotype"/>
      <w:sz w:val="20"/>
      <w:szCs w:val="20"/>
    </w:rPr>
  </w:style>
  <w:style w:type="character" w:styleId="ListLabel26">
    <w:name w:val="ListLabel 26"/>
    <w:qFormat/>
    <w:rPr>
      <w:rFonts w:ascii="Palatino Linotype" w:hAnsi="Palatino Linotype" w:cs="Palatino Linotype"/>
      <w:b w:val="false"/>
      <w:bCs w:val="false"/>
      <w:sz w:val="20"/>
      <w:szCs w:val="20"/>
      <w:u w:val="single"/>
    </w:rPr>
  </w:style>
  <w:style w:type="character" w:styleId="ListLabel27">
    <w:name w:val="ListLabel 27"/>
    <w:qFormat/>
    <w:rPr>
      <w:rFonts w:ascii="Palatino Linotype" w:hAnsi="Palatino Linotype" w:cs="Palatino Linotype"/>
      <w:b/>
      <w:bCs/>
      <w:sz w:val="20"/>
      <w:szCs w:val="20"/>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suppressLineNumbers/>
      <w:tabs>
        <w:tab w:val="center" w:pos="4819" w:leader="none"/>
        <w:tab w:val="right" w:pos="9638" w:leader="none"/>
      </w:tabs>
    </w:pPr>
    <w:rPr/>
  </w:style>
  <w:style w:type="paragraph" w:styleId="Normal2">
    <w:name w:val="Normal_"/>
    <w:basedOn w:val="Normal"/>
    <w:qFormat/>
    <w:pPr>
      <w:widowControl/>
      <w:overflowPunct w:val="fals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zzettaufficiale.it/atto/serie_generale/caricaDettaglioAtto/originario?atto.dataPubblicazioneGazzetta=2013-04-19&amp;atto.codiceRedazionale=13G00081&amp;elenco30giorni=true" TargetMode="External"/><Relationship Id="rId3" Type="http://schemas.openxmlformats.org/officeDocument/2006/relationships/hyperlink" Target="http://www.cittametropolitana.torino.it/istituzionale/nomine/index.shtml" TargetMode="External"/><Relationship Id="rId4" Type="http://schemas.openxmlformats.org/officeDocument/2006/relationships/hyperlink" Target="mailto:protocollo@cert.cittametropolitana.torino.it" TargetMode="External"/><Relationship Id="rId5" Type="http://schemas.openxmlformats.org/officeDocument/2006/relationships/hyperlink" Target="mailto:donatella.ficozzi@cittametropolitana.torino.i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105</TotalTime>
  <Application>LibreOffice/6.1.0.3$Windows_X86_64 LibreOffice_project/efb621ed25068d70781dc026f7e9c5187a4decd1</Application>
  <Pages>2</Pages>
  <Words>504</Words>
  <Characters>3107</Characters>
  <CharactersWithSpaces>3744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2019-03-11T15:49:44Z</cp:lastPrinted>
  <dcterms:modified xsi:type="dcterms:W3CDTF">2019-03-18T11:47:50Z</dcterms:modified>
  <cp:revision>34</cp:revision>
  <dc:subject/>
  <dc:title> PROVINCIA DI TORINO </dc:title>
</cp:coreProperties>
</file>